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png" ContentType="image/jpeg"/>
  <Override PartName="/word/media/image11.png" ContentType="image/jpeg"/>
  <Override PartName="/word/media/image12.png" ContentType="image/jpeg"/>
  <Override PartName="/word/media/image13.png" ContentType="image/jpeg"/>
  <Override PartName="/word/media/image14.png" ContentType="image/jpeg"/>
  <Override PartName="/word/media/image15.png" ContentType="image/jpeg"/>
  <Override PartName="/word/media/image16.png" ContentType="image/jpeg"/>
  <Override PartName="/word/media/image17.png" ContentType="image/jpeg"/>
  <Override PartName="/word/media/image18.png" ContentType="image/jpeg"/>
  <Override PartName="/word/media/image19.png" ContentType="image/jpeg"/>
  <Override PartName="/word/media/image3.png" ContentType="image/jpeg"/>
  <Override PartName="/word/media/image4.png" ContentType="image/jpeg"/>
  <Override PartName="/word/media/image5.png" ContentType="image/jpeg"/>
  <Override PartName="/word/media/image6.png" ContentType="image/jpeg"/>
  <Override PartName="/word/media/image7.png" ContentType="image/jpeg"/>
  <Override PartName="/word/media/image8.png" ContentType="image/jpeg"/>
  <Override PartName="/word/media/image9.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HELVETIA VAULT</w:t>
      </w:r>
    </w:p>
    <w:p>
      <w:pPr>
        <w:spacing w:after="80"/>
        <w:jc w:val="center"/>
      </w:pPr>
      <w:r>
        <w:t xml:space="preserve"/>
      </w:r>
      <w:r>
        <w:drawing>
          <wp:inline xmlns:a="http://schemas.openxmlformats.org/drawingml/2006/main" xmlns:pic="http://schemas.openxmlformats.org/drawingml/2006/picture">
            <wp:extent cx="1080000" cy="1080000"/>
            <wp:docPr id="1001" name="Picture 1"/>
            <wp:cNvGraphicFramePr>
              <a:graphicFrameLocks noChangeAspect="1"/>
            </wp:cNvGraphicFramePr>
            <a:graphic>
              <a:graphicData uri="http://schemas.openxmlformats.org/drawingml/2006/picture">
                <pic:pic>
                  <pic:nvPicPr>
                    <pic:cNvPr id="0" name="tmp_zwsp15j.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CH  •  NICE Classes: 9, 36, 42  •  July 07, 2026</w:t>
      </w:r>
    </w:p>
    <w:p>
      <w:pPr>
        <w:spacing w:after="80"/>
        <w:jc w:val="center"/>
      </w:pPr>
      <w:r>
        <w:rPr>
          <w:rFonts w:ascii="Arial" w:hAnsi="Arial" w:cs="Arial" w:eastAsia="Arial"/>
          <w:color w:val="666666"/>
          <w:sz w:val="18"/>
        </w:rPr>
        <w:t xml:space="preserve">Trademark register — data as of: July 03, 2026 · Switzerland — app 2026-07-03 / reg 2026-07-03 (registered only); WIPO — app 2026-07-01 / reg 2026-06-22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620"/>
      </w:tblPr>
      <w:tblGrid>
        <w:gridCol w:w="10540"/>
      </w:tblGrid>
      <w:tr>
        <w:tc>
          <w:tcPr>
            <w:tcW w:type="dxa" w:w="10540"/>
            <w:tcMar>
              <w:top w:w="100" w:type="dxa"/>
              <w:bottom w:w="100" w:type="dxa"/>
              <w:start w:w="100" w:type="dxa"/>
              <w:end w:w="100" w:type="dxa"/>
            </w:tcMar>
            <w:vAlign w:val="center"/>
            <w:shd w:fill="FFCCCC"/>
          </w:tcPr>
          <w:p>
            <w:pPr>
              <w:jc w:val="center"/>
            </w:pPr>
            <w:r>
              <w:rPr>
                <w:rFonts w:ascii="Arial" w:hAnsi="Arial" w:cs="Arial" w:eastAsia="Arial"/>
                <w:b/>
                <w:color w:val="CC0000"/>
                <w:sz w:val="22"/>
              </w:rPr>
              <w:t>Critical</w:t>
            </w:r>
          </w:p>
        </w:tc>
      </w:tr>
    </w:tbl>
    <w:p>
      <w:pPr>
        <w:spacing w:before="80" w:after="120"/>
      </w:pPr>
      <w:r>
        <w:rPr>
          <w:rFonts w:ascii="Arial" w:hAnsi="Arial" w:cs="Arial" w:eastAsia="Arial"/>
          <w:i/>
          <w:color w:val="666666"/>
          <w:sz w:val="20"/>
        </w:rPr>
        <w:t>An identical or near-identical earlier mark in the same field, or a strong absolute-grounds problem (e.g. descriptiveness). Filing the name as-is is very likely to fail — consider a different name or a substantial change.</w:t>
      </w:r>
    </w:p>
    <w:p>
      <w:pPr>
        <w:keepNext/>
        <w:spacing w:before="120" w:after="80"/>
      </w:pPr>
      <w:r>
        <w:rPr>
          <w:rFonts w:ascii="Arial" w:hAnsi="Arial" w:cs="Arial" w:eastAsia="Arial"/>
          <w:b/>
          <w:sz w:val="20"/>
        </w:rPr>
        <w:t>Summary:</w:t>
      </w:r>
    </w:p>
    <w:p>
      <w:pPr>
        <w:spacing w:after="80"/>
      </w:pPr>
      <w:r>
        <w:rPr>
          <w:rFonts w:ascii="Arial" w:hAnsi="Arial" w:cs="Arial" w:eastAsia="Arial"/>
          <w:sz w:val="20"/>
        </w:rPr>
        <w:t>Filing HELVETIA VAULT in Switzerland as-is is very unlikely to succeed, and the problem starts with the name itself. 'Helvetia' is the official Latin name for Switzerland, and Swiss law only lets companies actually based in Switzerland use it — since your company is in Portugal, the trademark office will almost certainly reject the application as misleading about where your services come from. On top of that, 'Helvetia' is the brand name of one of Switzerland's largest insurance groups, which owns registrations covering exactly your services — financial services, payment processing, wallet-style software — in all three of your classes, and they would very likely oppose your application even if it got past the examiner. All three classes face the same core problems, so there is no 'safe' class to fall back on. The realistic options are to pick a new distinctive name (you could keep 'Vault'), or to establish a genuine Swiss base and negotiate with the Helvetia group — but simply filing this name from Portugal is close to a guaranteed rejection.</w:t>
      </w:r>
    </w:p>
    <w:p>
      <w:pPr>
        <w:spacing w:after="80"/>
      </w:pPr>
      <w:r>
        <w:rPr>
          <w:rFonts w:ascii="Arial" w:hAnsi="Arial" w:cs="Arial" w:eastAsia="Arial"/>
          <w:b/>
          <w:sz w:val="20"/>
        </w:rPr>
        <w:t>What to do before filing:</w:t>
      </w:r>
    </w:p>
    <w:p>
      <w:pPr>
        <w:spacing w:after="80"/>
      </w:pPr>
      <w:r>
        <w:rPr>
          <w:rFonts w:ascii="Arial" w:hAnsi="Arial" w:cs="Arial" w:eastAsia="Arial"/>
          <w:sz w:val="20"/>
        </w:rPr>
        <w:t>1. Replace 'Helvetia' with a distinctive invented name to remove both the Swiss-origin problem and the clash with the Helvetia insurance group's marks.</w:t>
        <w:br/>
        <w:t>2. Redesign the shield logo to avoid a national coat-of-arms look, so the new brand doesn't raise the same Swiss-symbol concerns.</w:t>
        <w:br/>
        <w:t>3. Narrow your Class 9 and 42 descriptions to digital-wallet software specifically, to reduce overlap with the broad software coverage of the existing 'helvetia' registrations.</w:t>
        <w:br/>
        <w:t>4. Explore a consent or coexistence agreement with the Helvetia insurance group only if keeping a 'Helvetia'-style name is truly essential — and note this still won't fix the origin problem for a Portuguese company.</w:t>
      </w:r>
    </w:p>
    <w:p>
      <w:pPr>
        <w:spacing w:before="0" w:after="240"/>
      </w:pPr>
    </w:p>
    <w:p>
      <w:pPr>
        <w:pStyle w:val="Heading1"/>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ook w:firstColumn="1" w:firstRow="1" w:lastColumn="0" w:lastRow="0" w:noHBand="0" w:noVBand="1" w:val="04A0"/>
      </w:tblPr>
      <w:tblGrid>
        <w:gridCol w:w="2108"/>
        <w:gridCol w:w="2108"/>
        <w:gridCol w:w="2108"/>
        <w:gridCol w:w="2108"/>
        <w:gridCol w:w="2108"/>
      </w:tblGrid>
      <w:tr>
        <w:trPr>
          <w:cantSplit/>
        </w:trPr>
        <w:tc>
          <w:tcPr>
            <w:tcW w:type="dxa" w:w="2108"/>
            <w:shd w:fill="1A365D"/>
          </w:tcPr>
          <w:p>
            <w:pPr>
              <w:jc w:val="center"/>
            </w:pPr>
            <w:r>
              <w:rPr>
                <w:rFonts w:ascii="Arial" w:hAnsi="Arial" w:cs="Arial" w:eastAsia="Arial"/>
                <w:b/>
                <w:color w:val="FFFFFF"/>
                <w:sz w:val="18"/>
              </w:rPr>
              <w:t>Class</w:t>
            </w:r>
          </w:p>
        </w:tc>
        <w:tc>
          <w:tcPr>
            <w:tcW w:type="dxa" w:w="2108"/>
            <w:shd w:fill="1A365D"/>
          </w:tcPr>
          <w:p>
            <w:pPr>
              <w:jc w:val="center"/>
            </w:pPr>
            <w:r>
              <w:rPr>
                <w:rFonts w:ascii="Arial" w:hAnsi="Arial" w:cs="Arial" w:eastAsia="Arial"/>
                <w:b/>
                <w:color w:val="FFFFFF"/>
                <w:sz w:val="18"/>
              </w:rPr>
              <w:t>Status</w:t>
            </w:r>
          </w:p>
        </w:tc>
        <w:tc>
          <w:tcPr>
            <w:tcW w:type="dxa" w:w="2108"/>
            <w:shd w:fill="1A365D"/>
          </w:tcPr>
          <w:p>
            <w:pPr>
              <w:jc w:val="center"/>
            </w:pPr>
            <w:r>
              <w:rPr>
                <w:rFonts w:ascii="Arial" w:hAnsi="Arial" w:cs="Arial" w:eastAsia="Arial"/>
                <w:b/>
                <w:color w:val="FFFFFF"/>
                <w:sz w:val="18"/>
              </w:rPr>
              <w:t>Prov. Refusal Chance</w:t>
            </w:r>
          </w:p>
        </w:tc>
        <w:tc>
          <w:tcPr>
            <w:tcW w:type="dxa" w:w="2108"/>
            <w:shd w:fill="1A365D"/>
          </w:tcPr>
          <w:p>
            <w:pPr>
              <w:jc w:val="center"/>
            </w:pPr>
            <w:r>
              <w:rPr>
                <w:rFonts w:ascii="Arial" w:hAnsi="Arial" w:cs="Arial" w:eastAsia="Arial"/>
                <w:b/>
                <w:color w:val="FFFFFF"/>
                <w:sz w:val="18"/>
              </w:rPr>
              <w:t>Success Chance</w:t>
            </w:r>
          </w:p>
        </w:tc>
        <w:tc>
          <w:tcPr>
            <w:tcW w:type="dxa" w:w="2108"/>
            <w:shd w:fill="1A365D"/>
          </w:tcPr>
          <w:p>
            <w:pPr>
              <w:jc w:val="center"/>
            </w:pPr>
            <w:r>
              <w:rPr>
                <w:rFonts w:ascii="Arial" w:hAnsi="Arial" w:cs="Arial" w:eastAsia="Arial"/>
                <w:b/>
                <w:color w:val="FFFFFF"/>
                <w:sz w:val="18"/>
              </w:rPr>
              <w:t>Key Obstacle</w:t>
            </w:r>
          </w:p>
        </w:tc>
      </w:tr>
      <w:tr>
        <w:trPr>
          <w:cantSplit/>
        </w:trPr>
        <w:tc>
          <w:tcPr>
            <w:tcW w:type="dxa" w:w="2108"/>
          </w:tcPr>
          <w:p>
            <w:r>
              <w:rPr>
                <w:rFonts w:ascii="Arial" w:hAnsi="Arial" w:cs="Arial" w:eastAsia="Arial"/>
                <w:b/>
                <w:sz w:val="18"/>
              </w:rPr>
              <w:t>9</w:t>
            </w:r>
          </w:p>
        </w:tc>
        <w:tc>
          <w:tcPr>
            <w:tcW w:type="dxa" w:w="2108"/>
            <w:shd w:fill="FFCCCC"/>
          </w:tcPr>
          <w:p>
            <w:r>
              <w:rPr>
                <w:rFonts w:ascii="Arial" w:hAnsi="Arial" w:cs="Arial" w:eastAsia="Arial"/>
                <w:b/>
                <w:color w:val="CC0000"/>
                <w:sz w:val="18"/>
              </w:rPr>
              <w:t>Serious risk</w:t>
            </w:r>
          </w:p>
        </w:tc>
        <w:tc>
          <w:tcPr>
            <w:tcW w:type="dxa" w:w="2108"/>
          </w:tcPr>
          <w:p>
            <w:pPr>
              <w:jc w:val="center"/>
            </w:pPr>
            <w:r>
              <w:rPr>
                <w:rFonts w:ascii="Arial" w:hAnsi="Arial" w:cs="Arial" w:eastAsia="Arial"/>
                <w:sz w:val="18"/>
              </w:rPr>
              <w:t>85%</w:t>
            </w:r>
          </w:p>
        </w:tc>
        <w:tc>
          <w:tcPr>
            <w:tcW w:type="dxa" w:w="2108"/>
          </w:tcPr>
          <w:p>
            <w:pPr>
              <w:jc w:val="center"/>
            </w:pPr>
            <w:r>
              <w:rPr>
                <w:rFonts w:ascii="Arial" w:hAnsi="Arial" w:cs="Arial" w:eastAsia="Arial"/>
                <w:sz w:val="18"/>
              </w:rPr>
              <w:t>25%</w:t>
            </w:r>
          </w:p>
        </w:tc>
        <w:tc>
          <w:tcPr>
            <w:tcW w:type="dxa" w:w="2108"/>
          </w:tcPr>
          <w:p>
            <w:r>
              <w:rPr>
                <w:rFonts w:ascii="Arial" w:hAnsi="Arial" w:cs="Arial" w:eastAsia="Arial"/>
                <w:sz w:val="18"/>
              </w:rPr>
              <w:t>The word 'HELVETIA' is a protected Swiss designation that a Portugal-based company cannot legitimately use, and the iden...</w:t>
            </w:r>
          </w:p>
        </w:tc>
      </w:tr>
      <w:tr>
        <w:trPr>
          <w:cantSplit/>
        </w:trPr>
        <w:tc>
          <w:tcPr>
            <w:tcW w:type="dxa" w:w="2108"/>
          </w:tcPr>
          <w:p>
            <w:r>
              <w:rPr>
                <w:rFonts w:ascii="Arial" w:hAnsi="Arial" w:cs="Arial" w:eastAsia="Arial"/>
                <w:b/>
                <w:sz w:val="18"/>
              </w:rPr>
              <w:t>36</w:t>
            </w:r>
          </w:p>
        </w:tc>
        <w:tc>
          <w:tcPr>
            <w:tcW w:type="dxa" w:w="2108"/>
            <w:shd w:fill="FFCCCC"/>
          </w:tcPr>
          <w:p>
            <w:r>
              <w:rPr>
                <w:rFonts w:ascii="Arial" w:hAnsi="Arial" w:cs="Arial" w:eastAsia="Arial"/>
                <w:b/>
                <w:color w:val="CC0000"/>
                <w:sz w:val="18"/>
              </w:rPr>
              <w:t>Serious risk</w:t>
            </w:r>
          </w:p>
        </w:tc>
        <w:tc>
          <w:tcPr>
            <w:tcW w:type="dxa" w:w="2108"/>
          </w:tcPr>
          <w:p>
            <w:pPr>
              <w:jc w:val="center"/>
            </w:pPr>
            <w:r>
              <w:rPr>
                <w:rFonts w:ascii="Arial" w:hAnsi="Arial" w:cs="Arial" w:eastAsia="Arial"/>
                <w:sz w:val="18"/>
              </w:rPr>
              <w:t>88%</w:t>
            </w:r>
          </w:p>
        </w:tc>
        <w:tc>
          <w:tcPr>
            <w:tcW w:type="dxa" w:w="2108"/>
          </w:tcPr>
          <w:p>
            <w:pPr>
              <w:jc w:val="center"/>
            </w:pPr>
            <w:r>
              <w:rPr>
                <w:rFonts w:ascii="Arial" w:hAnsi="Arial" w:cs="Arial" w:eastAsia="Arial"/>
                <w:sz w:val="18"/>
              </w:rPr>
              <w:t>20%</w:t>
            </w:r>
          </w:p>
        </w:tc>
        <w:tc>
          <w:tcPr>
            <w:tcW w:type="dxa" w:w="2108"/>
          </w:tcPr>
          <w:p>
            <w:r>
              <w:rPr>
                <w:rFonts w:ascii="Arial" w:hAnsi="Arial" w:cs="Arial" w:eastAsia="Arial"/>
                <w:sz w:val="18"/>
              </w:rPr>
              <w:t>Class 36 is the worst class: the Swiss-origin objection applies with full force to financial services (where Swiss origi...</w:t>
            </w:r>
          </w:p>
        </w:tc>
      </w:tr>
      <w:tr>
        <w:trPr>
          <w:cantSplit/>
        </w:trPr>
        <w:tc>
          <w:tcPr>
            <w:tcW w:type="dxa" w:w="2108"/>
          </w:tcPr>
          <w:p>
            <w:r>
              <w:rPr>
                <w:rFonts w:ascii="Arial" w:hAnsi="Arial" w:cs="Arial" w:eastAsia="Arial"/>
                <w:b/>
                <w:sz w:val="18"/>
              </w:rPr>
              <w:t>42</w:t>
            </w:r>
          </w:p>
        </w:tc>
        <w:tc>
          <w:tcPr>
            <w:tcW w:type="dxa" w:w="2108"/>
            <w:shd w:fill="FFCCCC"/>
          </w:tcPr>
          <w:p>
            <w:r>
              <w:rPr>
                <w:rFonts w:ascii="Arial" w:hAnsi="Arial" w:cs="Arial" w:eastAsia="Arial"/>
                <w:b/>
                <w:color w:val="CC0000"/>
                <w:sz w:val="18"/>
              </w:rPr>
              <w:t>Serious risk</w:t>
            </w:r>
          </w:p>
        </w:tc>
        <w:tc>
          <w:tcPr>
            <w:tcW w:type="dxa" w:w="2108"/>
          </w:tcPr>
          <w:p>
            <w:pPr>
              <w:jc w:val="center"/>
            </w:pPr>
            <w:r>
              <w:rPr>
                <w:rFonts w:ascii="Arial" w:hAnsi="Arial" w:cs="Arial" w:eastAsia="Arial"/>
                <w:sz w:val="18"/>
              </w:rPr>
              <w:t>85%</w:t>
            </w:r>
          </w:p>
        </w:tc>
        <w:tc>
          <w:tcPr>
            <w:tcW w:type="dxa" w:w="2108"/>
          </w:tcPr>
          <w:p>
            <w:pPr>
              <w:jc w:val="center"/>
            </w:pPr>
            <w:r>
              <w:rPr>
                <w:rFonts w:ascii="Arial" w:hAnsi="Arial" w:cs="Arial" w:eastAsia="Arial"/>
                <w:sz w:val="18"/>
              </w:rPr>
              <w:t>25%</w:t>
            </w:r>
          </w:p>
        </w:tc>
        <w:tc>
          <w:tcPr>
            <w:tcW w:type="dxa" w:w="2108"/>
          </w:tcPr>
          <w:p>
            <w:r>
              <w:rPr>
                <w:rFonts w:ascii="Arial" w:hAnsi="Arial" w:cs="Arial" w:eastAsia="Arial"/>
                <w:sz w:val="18"/>
              </w:rPr>
              <w:t>The Swiss-origin objection to 'HELVETIA' applies to technology services as well, and the 'helvetia' house mark plus 'HEL...</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Swiss trademark examination typically takes around 3–6 months for straightforward cases; here, an origin-related objection and a likely opposition after publication could extend the process to 12–24 months or more, most likely ending in refusal if filed unchanged.</w:t>
            </w:r>
          </w:p>
        </w:tc>
      </w:tr>
    </w:tbl>
    <w:p>
      <w:pPr>
        <w:pStyle w:val="Heading1"/>
        <w:spacing w:before="360" w:after="120"/>
      </w:pPr>
      <w:r>
        <w:rPr>
          <w:rFonts w:ascii="Arial" w:hAnsi="Arial" w:cs="Arial" w:eastAsia="Arial"/>
          <w:color w:val="1A365D"/>
        </w:rPr>
        <w:t xml:space="preserve">Detailed Analysis</w:t>
      </w:r>
    </w:p>
    <w:p>
      <w:pPr>
        <w:pStyle w:val="Heading2"/>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SUGGESTIVE</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F1C40F"/>
          </w:tcPr>
          <w:p>
            <w:pPr>
              <w:jc w:val="center"/>
            </w:pPr>
            <w:r>
              <w:rPr>
                <w:rFonts w:ascii="Arial" w:hAnsi="Arial" w:cs="Arial" w:eastAsia="Arial"/>
                <w:b/>
                <w:color w:val="FFFFFF"/>
                <w:sz w:val="18"/>
              </w:rPr>
              <w:t>Suggestive</w:t>
            </w:r>
          </w:p>
        </w:tc>
        <w:tc>
          <w:tcPr>
            <w:tcW w:type="dxa" w:w="2108"/>
            <w:shd w:fill="E8E8E8"/>
          </w:tcPr>
          <w:p>
            <w:pPr>
              <w:jc w:val="center"/>
            </w:pPr>
            <w:r>
              <w:rPr>
                <w:rFonts w:ascii="Arial" w:hAnsi="Arial" w:cs="Arial" w:eastAsia="Arial"/>
                <w:color w:val="999999"/>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b/>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mark combines 'HELVETIA' — the Latin national personification and protected designation of Switzerland — with 'VAULT', an English word that hints at security and safekeeping of money or digital assets, a quality of financial and wallet services requiring a small mental step. The shield/coat-of-arms device with a mountain motif reinforces the Swiss national symbolism. Both word components are weak: 'HELVETIA' is a geographic/national designation and 'VAULT' is a laudatory-suggestive security term widely used in fintech; the combination therefore sits at the low end of suggestive, and the weak-component rule raises the inherent distinctiveness floor. The composite shield element adds some visual distinctiveness but does not neutralize the Swissness issue attached to 'HELVETIA'.</w:t>
      </w:r>
    </w:p>
    <w:p>
      <w:pPr>
        <w:pStyle w:val="Heading2"/>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The prospects for registering HELVETIA VAULT in Switzerland for a Portugal-based fintech are very poor. The primary absolute obstacle is that 'HELVETIA' is the protected national designation of Switzerland: under the MSchG and Swissness rules, a service provider without its seat and administration in Switzerland cannot use it, making refusal for misleading geographic origin and prohibited national designation highly likely, and the shield device in the logo reinforces the national-emblem impression. On relative grounds, the register is dominated by the Helvetia insurance group's family of marks — the identical house mark 'helvetia' covers identical software, financial and SaaS services across all three filed classes and constitutes the primary blocking citation, with 'Helvetica' (internet banking and software) and 'HELVETIA' (insurance and connected financial transactions) as additional blocking citations for Class 36. All three classes (9, 36 and 42) face HIGH combined risk, with Class 36 the weakest because Swiss origin is most material to financial services. The crowded 'HELVETIA' field does not help here, because the shared element is itself the problem: it is both a protected designation and the house mark of a single major rights holder rather than a diluted descriptive term. The realistic path forward is to replace 'HELVETIA' with a distinctive coined element while optionally retaining 'VAULT', or to establish genuine Swiss domicile and seek consent from the Helvetia group — otherwise filing as-is is very unlikely to succeed.</w:t>
      </w:r>
    </w:p>
    <w:p>
      <w:pPr>
        <w:spacing w:after="80"/>
      </w:pPr>
      <w:r>
        <w:rPr>
          <w:rFonts w:ascii="Arial" w:hAnsi="Arial" w:cs="Arial" w:eastAsia="Arial"/>
          <w:b/>
          <w:sz w:val="20"/>
        </w:rPr>
        <w:t xml:space="preserve">Registration Probability: </w:t>
      </w:r>
      <w:r>
        <w:rPr>
          <w:rFonts w:ascii="Arial" w:hAnsi="Arial" w:cs="Arial" w:eastAsia="Arial"/>
          <w:sz w:val="20"/>
        </w:rPr>
        <w:t xml:space="preserve">23%</w:t>
      </w:r>
    </w:p>
    <w:p>
      <w:pPr>
        <w:pStyle w:val="Heading2"/>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[MARK_MODIFICATION] Consider replacing 'HELVETIA' with a distinctive coined element (keeping 'VAULT' if desired) — to remove the misleading Swiss-origin claim driving the prohibited_elements, geographic_indications and deceptive_misleading objections, and to break the near-identity with the 'helvetia' house mark — expected impact: eliminates the dominant refusal grounds and the primary blocking citation.</w:t>
        <w:br/>
        <w:t xml:space="preserve">• [FILING_STRATEGY] Consider that the crowded-field defense is unavailable here: the shared element 'HELVETIA' is a protected national designation and the house mark of the Helvetia insurance group, so the distinctive burden falls entirely on 'VAULT', which is itself weak for wallet services — a genuinely distinctive replacement element must be addressed on its own merits — expected impact: refocuses branding on an element that can actually carry registration.</w:t>
        <w:br/>
        <w:t xml:space="preserve">• [COEXISTENCE] If retaining any 'Helvetia'-formative element is essential, consider seeking written consent or a coexistence arrangement with the Helvetia insurance group, whose 'helvetia', 'HELVETIA BANK' and 'HELVETIA BALOISE' registrations cover identical Class 9/36/42 services — to neutralize the most likely opposition sources — expected impact: reduces relative-grounds exposure, though it does not cure the Swissness objection for a non-Swiss applicant.</w:t>
        <w:br/>
        <w:t xml:space="preserve">• [GOODS_SCOPE] Consider drafting the Class 9 and 42 specifications narrowly around digital-wallet software and its operation rather than broad software headings — to reduce overlap with the broad software/SaaS coverage of 'helvetia' and 'HELVETIA BANK' — expected impact: marginally improves differentiation arguments in opposition, though it does not resolve the geographic-origin objection.</w:t>
        <w:br/>
        <w:t xml:space="preserve">• [DISTINCTIVENESS] Consider strengthening the replacement mark with the existing shield-and-mountain device redesigned to avoid coat-of-arms and Swiss-cross connotations — to avoid the national-emblem impression while keeping a security-themed visual identity — expected impact: supports overall distinctiveness without triggering prohibited-elements scrutiny.</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2"/>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HIGH</w:t>
      </w:r>
    </w:p>
    <w:tbl>
      <w:tblPr>
        <w:tblStyle w:val="TableGrid"/>
        <w:tblW w:type="auto" w:w="0"/>
        <w:tblLook w:firstColumn="1" w:firstRow="1" w:lastColumn="0" w:lastRow="0" w:noHBand="0" w:noVBand="1" w:val="04A0"/>
      </w:tblPr>
      <w:tblGrid>
        <w:gridCol w:w="3513"/>
        <w:gridCol w:w="3513"/>
        <w:gridCol w:w="3513"/>
      </w:tblGrid>
      <w:tr>
        <w:trPr>
          <w:cantSplit/>
        </w:trPr>
        <w:tc>
          <w:tcPr>
            <w:tcW w:type="dxa" w:w="3513"/>
            <w:shd w:fill="1A365D"/>
          </w:tcPr>
          <w:p>
            <w:r>
              <w:rPr>
                <w:rFonts w:ascii="Arial" w:hAnsi="Arial" w:cs="Arial" w:eastAsia="Arial"/>
                <w:b/>
                <w:color w:val="FFFFFF"/>
                <w:sz w:val="20"/>
              </w:rPr>
              <w:t xml:space="preserve">Ground</w:t>
            </w:r>
          </w:p>
        </w:tc>
        <w:tc>
          <w:tcPr>
            <w:tcW w:type="dxa" w:w="3513"/>
            <w:shd w:fill="1A365D"/>
          </w:tcPr>
          <w:p>
            <w:r>
              <w:rPr>
                <w:rFonts w:ascii="Arial" w:hAnsi="Arial" w:cs="Arial" w:eastAsia="Arial"/>
                <w:b/>
                <w:color w:val="FFFFFF"/>
                <w:sz w:val="20"/>
              </w:rPr>
              <w:t xml:space="preserve">Risk Level</w:t>
            </w:r>
          </w:p>
        </w:tc>
        <w:tc>
          <w:tcPr>
            <w:tcW w:type="dxa" w:w="3513"/>
            <w:shd w:fill="1A365D"/>
          </w:tcPr>
          <w:p>
            <w:r>
              <w:rPr>
                <w:rFonts w:ascii="Arial" w:hAnsi="Arial" w:cs="Arial" w:eastAsia="Arial"/>
                <w:b/>
                <w:color w:val="FFFFFF"/>
                <w:sz w:val="20"/>
              </w:rPr>
              <w:t xml:space="preserve">Reason</w:t>
            </w:r>
          </w:p>
        </w:tc>
      </w:tr>
      <w:tr>
        <w:trPr>
          <w:cantSplit/>
        </w:trPr>
        <w:tc>
          <w:tcPr>
            <w:tcW w:type="dxa" w:w="3513"/>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shd w:fill="D4EDDA"/>
          </w:tcPr>
          <w:p>
            <w:r>
              <w:rPr>
                <w:rFonts w:ascii="Arial" w:hAnsi="Arial" w:cs="Arial" w:eastAsia="Arial"/>
                <w:b/>
                <w:color w:val="156B2A"/>
                <w:sz w:val="20"/>
              </w:rPr>
              <w:t xml:space="preserve">LOW</w:t>
            </w:r>
          </w:p>
        </w:tc>
        <w:tc>
          <w:tcPr>
            <w:tcW w:type="dxa" w:w="3513"/>
          </w:tcPr>
          <w:p>
            <w:r>
              <w:rPr>
                <w:rFonts w:ascii="Arial" w:hAnsi="Arial" w:cs="Arial" w:eastAsia="Arial"/>
                <w:sz w:val="20"/>
              </w:rPr>
              <w:t xml:space="preserve">Both components are individually weak: 'HELVETIA' is a national/geographic designation and 'VAULT' is a common suggestive term for secure storage in finance. The combination with the shield device is likely distinctive enough overall, but the mark's scope of protection would be narrow.</w:t>
            </w:r>
          </w:p>
        </w:tc>
      </w:tr>
      <w:tr>
        <w:trPr>
          <w:cantSplit/>
        </w:trPr>
        <w:tc>
          <w:tcPr>
            <w:tcW w:type="dxa" w:w="3513"/>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shd w:fill="FFCCCC"/>
          </w:tcPr>
          <w:p>
            <w:r>
              <w:rPr>
                <w:rFonts w:ascii="Arial" w:hAnsi="Arial" w:cs="Arial" w:eastAsia="Arial"/>
                <w:b/>
                <w:color w:val="CC0000"/>
                <w:sz w:val="20"/>
              </w:rPr>
              <w:t xml:space="preserve">HIGH</w:t>
            </w:r>
          </w:p>
        </w:tc>
        <w:tc>
          <w:tcPr>
            <w:tcW w:type="dxa" w:w="3513"/>
          </w:tcPr>
          <w:p>
            <w:r>
              <w:rPr>
                <w:rFonts w:ascii="Arial" w:hAnsi="Arial" w:cs="Arial" w:eastAsia="Arial"/>
                <w:sz w:val="20"/>
              </w:rPr>
              <w:t xml:space="preserve">The applicant is domiciled in Portugal (PT), while 'HELVETIA' together with a heraldic shield unmistakably signals Swiss origin to consumers in all Swiss languages. Under the MSchG and the Swissness legislation, use of a Swiss designation for services requires that the provider's seat and actual administration be in Switzerland; a non-Swiss applicant therefore faces a serious deceptiveness objection (misleading indication of source) under MSchG Art. 2(c) and Art. 47 et seq.</w:t>
            </w:r>
          </w:p>
        </w:tc>
      </w:tr>
      <w:tr>
        <w:trPr>
          <w:cantSplit/>
        </w:trPr>
        <w:tc>
          <w:tcPr>
            <w:tcW w:type="dxa" w:w="3513"/>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shd w:fill="FFCCCC"/>
          </w:tcPr>
          <w:p>
            <w:r>
              <w:rPr>
                <w:rFonts w:ascii="Arial" w:hAnsi="Arial" w:cs="Arial" w:eastAsia="Arial"/>
                <w:b/>
                <w:color w:val="CC0000"/>
                <w:sz w:val="20"/>
              </w:rPr>
              <w:t xml:space="preserve">HIGH</w:t>
            </w:r>
          </w:p>
        </w:tc>
        <w:tc>
          <w:tcPr>
            <w:tcW w:type="dxa" w:w="3513"/>
          </w:tcPr>
          <w:p>
            <w:r>
              <w:rPr>
                <w:rFonts w:ascii="Arial" w:hAnsi="Arial" w:cs="Arial" w:eastAsia="Arial"/>
                <w:sz w:val="20"/>
              </w:rPr>
              <w:t xml:space="preserve">'HELVETIA' is the Latin name and national personification of Switzerland, protected under the Swiss indications-of-source regime, and the logo's shield device evokes a national coat-of-arms style emblem. For a Portuguese applicant, the IGE/IPI will treat the Swiss designation as inadmissible for services not originating in Switzerland, making a refusal on this ground highly likely.</w:t>
            </w:r>
          </w:p>
        </w:tc>
      </w:tr>
      <w:tr>
        <w:trPr>
          <w:cantSplit/>
        </w:trPr>
        <w:tc>
          <w:tcPr>
            <w:tcW w:type="dxa" w:w="3513"/>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shd w:fill="FFCCCC"/>
          </w:tcPr>
          <w:p>
            <w:r>
              <w:rPr>
                <w:rFonts w:ascii="Arial" w:hAnsi="Arial" w:cs="Arial" w:eastAsia="Arial"/>
                <w:b/>
                <w:color w:val="CC0000"/>
                <w:sz w:val="20"/>
              </w:rPr>
              <w:t xml:space="preserve">HIGH</w:t>
            </w:r>
          </w:p>
        </w:tc>
        <w:tc>
          <w:tcPr>
            <w:tcW w:type="dxa" w:w="3513"/>
          </w:tcPr>
          <w:p>
            <w:r>
              <w:rPr>
                <w:rFonts w:ascii="Arial" w:hAnsi="Arial" w:cs="Arial" w:eastAsia="Arial"/>
                <w:sz w:val="20"/>
              </w:rPr>
              <w:t xml:space="preserve">'HELVETIA' is directly understood in German, French, Italian and Romansh-speaking Switzerland as designating Switzerland itself; financial services are strongly associated with Swiss origin (Swiss banking reputation). The mark therefore conveys a clear geographic origin claim that the applicant, domiciled in Portugal, cannot substantiate.</w:t>
            </w:r>
          </w:p>
        </w:tc>
      </w:tr>
      <w:tr>
        <w:trPr>
          <w:cantSplit/>
        </w:trPr>
        <w:tc>
          <w:tcPr>
            <w:tcW w:type="dxa" w:w="3513"/>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shd w:fill="FFF3CD"/>
          </w:tcPr>
          <w:p>
            <w:r>
              <w:rPr>
                <w:rFonts w:ascii="Arial" w:hAnsi="Arial" w:cs="Arial" w:eastAsia="Arial"/>
                <w:b/>
                <w:color w:val="CC7A00"/>
                <w:sz w:val="20"/>
              </w:rPr>
              <w:t xml:space="preserve">MEDIUM</w:t>
            </w:r>
          </w:p>
        </w:tc>
        <w:tc>
          <w:tcPr>
            <w:tcW w:type="dxa" w:w="3513"/>
          </w:tcPr>
          <w:p>
            <w:r>
              <w:rPr>
                <w:rFonts w:ascii="Arial" w:hAnsi="Arial" w:cs="Arial" w:eastAsia="Arial"/>
                <w:sz w:val="20"/>
              </w:rPr>
              <w:t xml:space="preserve">Checked in German, French, Italian, Romansh and English: 'HELVETIA' reads identically in all Swiss languages as the national name of Switzerland — this national/geographic reading, uniform across languages, drives the MEDIUM level. 'VAULT' is an English term widely understood in Swiss financial circles as denoting secure storage, giving the mark a descriptive flavor for wallet services; no offensive or negative connotation exists in any language.</w:t>
            </w:r>
          </w:p>
        </w:tc>
      </w:tr>
      <w:tr>
        <w:trPr>
          <w:cantSplit/>
        </w:trPr>
        <w:tc>
          <w:tcPr>
            <w:tcW w:type="dxa" w:w="3513"/>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2"/>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HIGH</w:t>
      </w:r>
    </w:p>
    <w:p>
      <w:pPr>
        <w:keepNext/>
        <w:spacing w:after="80"/>
      </w:pPr>
      <w:r>
        <w:rPr>
          <w:rFonts w:ascii="Arial" w:hAnsi="Arial" w:cs="Arial" w:eastAsia="Arial"/>
          <w:b/>
          <w:sz w:val="20"/>
        </w:rPr>
        <w:t xml:space="preserve">Analysis Notes: </w:t>
      </w:r>
      <w:r>
        <w:rPr>
          <w:rFonts w:ascii="Arial" w:hAnsi="Arial" w:cs="Arial" w:eastAsia="Arial"/>
          <w:sz w:val="20"/>
        </w:rPr>
        <w:t xml:space="preserve">The Swiss register is heavily crowded with 'HELVETIA'-formative marks, but the crowd is dominated by the Helvetia insurance group's own family of marks covering identical Class 36/9/42 services. The highest risks come from the house marks 'helvetia' (Classes 9, 28, 35, 36, 38, 41, 42, 45), 'HELVETIA BANK' and 'HELVETIA BALOISE', all covering identical financial, software and technology services; goods_overlap was assessed on the actual goods/services texts provided.</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37874"/>
                  <wp:docPr id="1002" name="Picture 1002"/>
                  <wp:cNvGraphicFramePr>
                    <a:graphicFrameLocks noChangeAspect="1"/>
                  </wp:cNvGraphicFramePr>
                  <a:graphic>
                    <a:graphicData uri="http://schemas.openxmlformats.org/drawingml/2006/picture">
                      <pic:pic>
                        <pic:nvPicPr>
                          <pic:cNvPr id="0" name="tmpxzj3by_0.png"/>
                          <pic:cNvPicPr/>
                        </pic:nvPicPr>
                        <pic:blipFill>
                          <a:blip r:embed="rId12"/>
                          <a:stretch>
                            <a:fillRect/>
                          </a:stretch>
                        </pic:blipFill>
                        <pic:spPr>
                          <a:xfrm>
                            <a:off x="0" y="0"/>
                            <a:ext cx="731520" cy="137874"/>
                          </a:xfrm>
                          <a:prstGeom prst="rect"/>
                        </pic:spPr>
                      </pic:pic>
                    </a:graphicData>
                  </a:graphic>
                </wp:inline>
              </w:drawing>
            </w:r>
            <w:r>
              <w:br/>
            </w:r>
            <w:r>
              <w:rPr>
                <w:rFonts w:ascii="Arial" w:hAnsi="Arial" w:cs="Arial" w:eastAsia="Arial"/>
                <w:b/>
                <w:sz w:val="20"/>
              </w:rPr>
              <w:t>helvetia iSave</w:t>
            </w:r>
          </w:p>
        </w:tc>
        <w:tc>
          <w:tcPr>
            <w:tcW w:type="dxa" w:w="1506"/>
            <w:tcW w:w="1100" w:type="pct"/>
          </w:tcPr>
          <w:p>
            <w:r>
              <w:t>36</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Shares the dominant first element 'helvetia'; the composite logo shows 'helvetia' with a colored triangle device plus 'iSave'. Its specification is limited to life insurance, which is related but not identical to financial/wallet services. The shared leading element combined with related Class 36 services creates a moderate opposition risk from the Helvetia insurance group.</w:t>
            </w:r>
          </w:p>
          <w:p>
            <w:hyperlink r:id="rId13">
              <w:r>
                <w:rPr>
                  <w:rFonts w:ascii="Arial" w:hAnsi="Arial" w:cs="Arial" w:eastAsia="Arial"/>
                  <w:sz w:val="16"/>
                  <w:color w:val="666666"/>
                  <w:u w:val="none"/>
                </w:rPr>
                <w:t xml:space="preserve">TMView: CH502012000056494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29723"/>
                  <wp:docPr id="1003" name="Picture 1003"/>
                  <wp:cNvGraphicFramePr>
                    <a:graphicFrameLocks noChangeAspect="1"/>
                  </wp:cNvGraphicFramePr>
                  <a:graphic>
                    <a:graphicData uri="http://schemas.openxmlformats.org/drawingml/2006/picture">
                      <pic:pic>
                        <pic:nvPicPr>
                          <pic:cNvPr id="0" name="tmp2ayk2cg3.png"/>
                          <pic:cNvPicPr/>
                        </pic:nvPicPr>
                        <pic:blipFill>
                          <a:blip r:embed="rId14"/>
                          <a:stretch>
                            <a:fillRect/>
                          </a:stretch>
                        </pic:blipFill>
                        <pic:spPr>
                          <a:xfrm>
                            <a:off x="0" y="0"/>
                            <a:ext cx="731520" cy="729723"/>
                          </a:xfrm>
                          <a:prstGeom prst="rect"/>
                        </pic:spPr>
                      </pic:pic>
                    </a:graphicData>
                  </a:graphic>
                </wp:inline>
              </w:drawing>
            </w:r>
            <w:r>
              <w:br/>
            </w:r>
            <w:r>
              <w:rPr>
                <w:rFonts w:ascii="Arial" w:hAnsi="Arial" w:cs="Arial" w:eastAsia="Arial"/>
                <w:b/>
                <w:sz w:val="20"/>
              </w:rPr>
              <w:t>Helvetia Lyrica</w:t>
            </w:r>
          </w:p>
        </w:tc>
        <w:tc>
          <w:tcPr>
            <w:tcW w:type="dxa" w:w="1506"/>
            <w:tcW w:w="1100" w:type="pct"/>
          </w:tcPr>
          <w:p>
            <w:r>
              <w:t>9, 41, 45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Shares the dominant 'Helvetia' element and covers Class 9, though its actual specification focuses on music-related media and software alongside broad Class 9 headings that overlap with wallet software. The music-oriented scope reduces but does not remove proximity in Class 9.</w:t>
            </w:r>
          </w:p>
          <w:p>
            <w:hyperlink r:id="rId15">
              <w:r>
                <w:rPr>
                  <w:rFonts w:ascii="Arial" w:hAnsi="Arial" w:cs="Arial" w:eastAsia="Arial"/>
                  <w:sz w:val="16"/>
                  <w:color w:val="666666"/>
                  <w:u w:val="none"/>
                </w:rPr>
                <w:t xml:space="preserve">TMView: CH502021000019144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4408"/>
                  <wp:docPr id="1004" name="Picture 1004"/>
                  <wp:cNvGraphicFramePr>
                    <a:graphicFrameLocks noChangeAspect="1"/>
                  </wp:cNvGraphicFramePr>
                  <a:graphic>
                    <a:graphicData uri="http://schemas.openxmlformats.org/drawingml/2006/picture">
                      <pic:pic>
                        <pic:nvPicPr>
                          <pic:cNvPr id="0" name="tmpzub6hf6w.png"/>
                          <pic:cNvPicPr/>
                        </pic:nvPicPr>
                        <pic:blipFill>
                          <a:blip r:embed="rId16"/>
                          <a:stretch>
                            <a:fillRect/>
                          </a:stretch>
                        </pic:blipFill>
                        <pic:spPr>
                          <a:xfrm>
                            <a:off x="0" y="0"/>
                            <a:ext cx="731520" cy="244408"/>
                          </a:xfrm>
                          <a:prstGeom prst="rect"/>
                        </pic:spPr>
                      </pic:pic>
                    </a:graphicData>
                  </a:graphic>
                </wp:inline>
              </w:drawing>
            </w:r>
            <w:r>
              <w:br/>
            </w:r>
            <w:r>
              <w:rPr>
                <w:rFonts w:ascii="Arial" w:hAnsi="Arial" w:cs="Arial" w:eastAsia="Arial"/>
                <w:b/>
                <w:sz w:val="20"/>
              </w:rPr>
              <w:t>helvetia life</w:t>
            </w:r>
          </w:p>
        </w:tc>
        <w:tc>
          <w:tcPr>
            <w:tcW w:type="dxa" w:w="1506"/>
            <w:tcW w:w="1100" w:type="pct"/>
          </w:tcPr>
          <w:p>
            <w:r>
              <w:t>36</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Same 'helvetia + weak suffix' structure; its Class 36 specification expressly covers insurance and financial/monetary affairs, effectively identical in scope to the target's financial services. Two MEDIUM similarity dimensions with identical services yield a high conflict risk.</w:t>
            </w:r>
          </w:p>
          <w:p>
            <w:hyperlink r:id="rId17">
              <w:r>
                <w:rPr>
                  <w:rFonts w:ascii="Arial" w:hAnsi="Arial" w:cs="Arial" w:eastAsia="Arial"/>
                  <w:sz w:val="16"/>
                  <w:color w:val="666666"/>
                  <w:u w:val="none"/>
                </w:rPr>
                <w:t xml:space="preserve">TMView: CH502006000001988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0368"/>
                  <wp:docPr id="1005" name="Picture 1005"/>
                  <wp:cNvGraphicFramePr>
                    <a:graphicFrameLocks noChangeAspect="1"/>
                  </wp:cNvGraphicFramePr>
                  <a:graphic>
                    <a:graphicData uri="http://schemas.openxmlformats.org/drawingml/2006/picture">
                      <pic:pic>
                        <pic:nvPicPr>
                          <pic:cNvPr id="0" name="tmp89ux985s.png"/>
                          <pic:cNvPicPr/>
                        </pic:nvPicPr>
                        <pic:blipFill>
                          <a:blip r:embed="rId18"/>
                          <a:stretch>
                            <a:fillRect/>
                          </a:stretch>
                        </pic:blipFill>
                        <pic:spPr>
                          <a:xfrm>
                            <a:off x="0" y="0"/>
                            <a:ext cx="731520" cy="230368"/>
                          </a:xfrm>
                          <a:prstGeom prst="rect"/>
                        </pic:spPr>
                      </pic:pic>
                    </a:graphicData>
                  </a:graphic>
                </wp:inline>
              </w:drawing>
            </w:r>
            <w:r>
              <w:br/>
            </w:r>
            <w:r>
              <w:rPr>
                <w:rFonts w:ascii="Arial" w:hAnsi="Arial" w:cs="Arial" w:eastAsia="Arial"/>
                <w:b/>
                <w:sz w:val="20"/>
              </w:rPr>
              <w:t>HELVETIA PATRIA</w:t>
            </w:r>
          </w:p>
        </w:tc>
        <w:tc>
          <w:tcPr>
            <w:tcW w:type="dxa" w:w="1506"/>
            <w:tcW w:w="1100" w:type="pct"/>
          </w:tcPr>
          <w:p>
            <w:r>
              <w:t>12, 35, 25, 36, 16, 28, 18, 8, 42</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Shares the dominant 'HELVETIA' element and covers 'Finanzwesen; Geldgeschäfte' in Class 36 and data-processing services in Class 42, identical/near-identical to the target scope. Structure (HELVETIA + second word) is parallel, raising confusion risk with identical services.</w:t>
            </w:r>
          </w:p>
          <w:p>
            <w:hyperlink r:id="rId19">
              <w:r>
                <w:rPr>
                  <w:rFonts w:ascii="Arial" w:hAnsi="Arial" w:cs="Arial" w:eastAsia="Arial"/>
                  <w:sz w:val="16"/>
                  <w:color w:val="666666"/>
                  <w:u w:val="none"/>
                </w:rPr>
                <w:t xml:space="preserve">TMView: CH501994000009282</w:t>
              </w:r>
            </w:hyperlink>
          </w:p>
        </w:tc>
      </w:tr>
      <w:tr>
        <w:trPr>
          <w:cantSplit/>
        </w:trPr>
        <w:tc>
          <w:tcPr>
            <w:tcW w:type="dxa" w:w="1506"/>
            <w:tcW w:w="1100" w:type="pct"/>
          </w:tcPr>
          <w:p>
            <w:r>
              <w:rPr>
                <w:rFonts w:ascii="Arial" w:hAnsi="Arial" w:cs="Arial" w:eastAsia="Arial"/>
                <w:b/>
                <w:sz w:val="20"/>
              </w:rPr>
              <w:t>HELVETIA BANK</w:t>
            </w:r>
          </w:p>
        </w:tc>
        <w:tc>
          <w:tcPr>
            <w:tcW w:type="dxa" w:w="1506"/>
            <w:tcW w:w="1100" w:type="pct"/>
          </w:tcPr>
          <w:p>
            <w:r>
              <w:t>9, 28, 35, 36, 38, 41, 42, 45</w:t>
            </w:r>
          </w:p>
        </w:tc>
        <w:tc>
          <w:tcPr>
            <w:tcW w:type="dxa" w:w="1506"/>
            <w:tcW w:w="500" w:type="pct"/>
          </w:tcPr>
          <w:p>
            <w:r>
              <w:t>MEDIUM</w:t>
            </w:r>
          </w:p>
        </w:tc>
        <w:tc>
          <w:tcPr>
            <w:tcW w:type="dxa" w:w="1506"/>
            <w:tcW w:w="500" w:type="pct"/>
          </w:tcPr>
          <w:p>
            <w:r>
              <w:t>MEDIUM</w:t>
            </w:r>
          </w:p>
        </w:tc>
        <w:tc>
          <w:tcPr>
            <w:tcW w:type="dxa" w:w="1506"/>
            <w:tcW w:w="500" w:type="pct"/>
          </w:tcPr>
          <w:p>
            <w:r>
              <w:t>HIGH</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Identical structure ('HELVETIA' + finance-related noun) with a nearly identical concept — a Swiss financial institution/safekeeping. Its specification covers computer software (Class 9), financial and banking services (Class 36) and SaaS/software development (Class 42), identical to the target's scope across all three filed classes. This is a strong potential opposition source.</w:t>
            </w:r>
          </w:p>
          <w:p>
            <w:hyperlink r:id="rId20">
              <w:r>
                <w:rPr>
                  <w:rFonts w:ascii="Arial" w:hAnsi="Arial" w:cs="Arial" w:eastAsia="Arial"/>
                  <w:sz w:val="16"/>
                  <w:color w:val="666666"/>
                  <w:u w:val="none"/>
                </w:rPr>
                <w:t xml:space="preserve">TMView: CH502026000002061</w:t>
              </w:r>
            </w:hyperlink>
          </w:p>
        </w:tc>
      </w:tr>
      <w:tr>
        <w:trPr>
          <w:cantSplit/>
        </w:trPr>
        <w:tc>
          <w:tcPr>
            <w:tcW w:type="dxa" w:w="1506"/>
            <w:tcW w:w="1100" w:type="pct"/>
          </w:tcPr>
          <w:p>
            <w:r>
              <w:rPr>
                <w:rFonts w:ascii="Arial" w:hAnsi="Arial" w:cs="Arial" w:eastAsia="Arial"/>
                <w:b/>
                <w:sz w:val="20"/>
              </w:rPr>
              <w:t>HELVETIA BALOISE</w:t>
            </w:r>
          </w:p>
        </w:tc>
        <w:tc>
          <w:tcPr>
            <w:tcW w:type="dxa" w:w="1506"/>
            <w:tcW w:w="1100" w:type="pct"/>
          </w:tcPr>
          <w:p>
            <w:r>
              <w:t>14, 15, 16, 18, 20, 21, 22, 23, 24, 25, 26, 27, 34, 36, 39, 41</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Shares the dominant 'HELVETIA' element; Class 36 specification expressly covers financial services, banking services and monetary affairs, identical to the target's financial/wallet services. The additional element 'BALOISE' differs but the common leading house element drives association risk.</w:t>
            </w:r>
          </w:p>
          <w:p>
            <w:hyperlink r:id="rId21">
              <w:r>
                <w:rPr>
                  <w:rFonts w:ascii="Arial" w:hAnsi="Arial" w:cs="Arial" w:eastAsia="Arial"/>
                  <w:sz w:val="16"/>
                  <w:color w:val="666666"/>
                  <w:u w:val="none"/>
                </w:rPr>
                <w:t xml:space="preserve">TMView: CH502025000005750</w:t>
              </w:r>
            </w:hyperlink>
          </w:p>
        </w:tc>
      </w:tr>
      <w:tr>
        <w:trPr>
          <w:cantSplit/>
        </w:trPr>
        <w:tc>
          <w:tcPr>
            <w:tcW w:type="dxa" w:w="1506"/>
            <w:tcW w:w="1100" w:type="pct"/>
          </w:tcPr>
          <w:p>
            <w:r>
              <w:rPr>
                <w:rFonts w:ascii="Arial" w:hAnsi="Arial" w:cs="Arial" w:eastAsia="Arial"/>
                <w:b/>
                <w:sz w:val="20"/>
              </w:rPr>
              <w:t>HELVETIA BALOISE</w:t>
            </w:r>
          </w:p>
        </w:tc>
        <w:tc>
          <w:tcPr>
            <w:tcW w:type="dxa" w:w="1506"/>
            <w:tcW w:w="1100" w:type="pct"/>
          </w:tcPr>
          <w:p>
            <w:r>
              <w:t>9, 28, 35, 36, 38, 41, 42, 45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Same shared 'HELVETIA' element; this registration covers computer software (Class 9), the full range of financial and banking services (Class 36) and SaaS/software services (Class 42) — identical to all three target classes. High opposition exposure from the merged Helvetia/Baloise insurance group.</w:t>
            </w:r>
          </w:p>
          <w:p>
            <w:hyperlink r:id="rId22">
              <w:r>
                <w:rPr>
                  <w:rFonts w:ascii="Arial" w:hAnsi="Arial" w:cs="Arial" w:eastAsia="Arial"/>
                  <w:sz w:val="16"/>
                  <w:color w:val="666666"/>
                  <w:u w:val="none"/>
                </w:rPr>
                <w:t xml:space="preserve">TMView: CH502025000005752</w:t>
              </w:r>
            </w:hyperlink>
          </w:p>
        </w:tc>
      </w:tr>
      <w:tr>
        <w:trPr>
          <w:cantSplit/>
        </w:trPr>
        <w:tc>
          <w:tcPr>
            <w:tcW w:type="dxa" w:w="1506"/>
            <w:tcW w:w="1100" w:type="pct"/>
          </w:tcPr>
          <w:p>
            <w:r>
              <w:rPr>
                <w:rFonts w:ascii="Arial" w:hAnsi="Arial" w:cs="Arial" w:eastAsia="Arial"/>
                <w:b/>
                <w:sz w:val="20"/>
              </w:rPr>
              <w:t>HELVETIA BALOISE</w:t>
            </w:r>
          </w:p>
        </w:tc>
        <w:tc>
          <w:tcPr>
            <w:tcW w:type="dxa" w:w="1506"/>
            <w:tcW w:w="1100" w:type="pct"/>
          </w:tcPr>
          <w:p>
            <w:r>
              <w:t>3, 5, 10, 36, 41, 44</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Another registration of the same house mark; its Class 36 specification again covers financial and banking services identical to the target's core services, so the same high conflict assessment applies for Class 36.</w:t>
            </w:r>
          </w:p>
          <w:p>
            <w:hyperlink r:id="rId23">
              <w:r>
                <w:rPr>
                  <w:rFonts w:ascii="Arial" w:hAnsi="Arial" w:cs="Arial" w:eastAsia="Arial"/>
                  <w:sz w:val="16"/>
                  <w:color w:val="666666"/>
                  <w:u w:val="none"/>
                </w:rPr>
                <w:t xml:space="preserve">TMView: CH502025000005751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15568"/>
                  <wp:docPr id="1006" name="Picture 1006"/>
                  <wp:cNvGraphicFramePr>
                    <a:graphicFrameLocks noChangeAspect="1"/>
                  </wp:cNvGraphicFramePr>
                  <a:graphic>
                    <a:graphicData uri="http://schemas.openxmlformats.org/drawingml/2006/picture">
                      <pic:pic>
                        <pic:nvPicPr>
                          <pic:cNvPr id="0" name="tmp4p9xo6in.png"/>
                          <pic:cNvPicPr/>
                        </pic:nvPicPr>
                        <pic:blipFill>
                          <a:blip r:embed="rId24"/>
                          <a:stretch>
                            <a:fillRect/>
                          </a:stretch>
                        </pic:blipFill>
                        <pic:spPr>
                          <a:xfrm>
                            <a:off x="0" y="0"/>
                            <a:ext cx="731520" cy="115568"/>
                          </a:xfrm>
                          <a:prstGeom prst="rect"/>
                        </pic:spPr>
                      </pic:pic>
                    </a:graphicData>
                  </a:graphic>
                </wp:inline>
              </w:drawing>
            </w:r>
            <w:r>
              <w:br/>
            </w:r>
            <w:r>
              <w:rPr>
                <w:rFonts w:ascii="Arial" w:hAnsi="Arial" w:cs="Arial" w:eastAsia="Arial"/>
                <w:b/>
                <w:sz w:val="20"/>
              </w:rPr>
              <w:t>SONIC HELVETIA</w:t>
            </w:r>
          </w:p>
        </w:tc>
        <w:tc>
          <w:tcPr>
            <w:tcW w:type="dxa" w:w="1506"/>
            <w:tcW w:w="1100" w:type="pct"/>
          </w:tcPr>
          <w:p>
            <w:r>
              <w:t>42, 44</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'HELVETIA' appears in second position after the distinctive 'SONIC', changing the overall impression. Its Class 42 services are scientific/laboratory-oriented with software design mentioned generically; only weak proximity to the target's Class 42 scope, so conflict risk is low.</w:t>
            </w:r>
          </w:p>
          <w:p>
            <w:hyperlink r:id="rId25">
              <w:r>
                <w:rPr>
                  <w:rFonts w:ascii="Arial" w:hAnsi="Arial" w:cs="Arial" w:eastAsia="Arial"/>
                  <w:sz w:val="16"/>
                  <w:color w:val="666666"/>
                  <w:u w:val="none"/>
                </w:rPr>
                <w:t xml:space="preserve">TMView: CH502024000003588</w:t>
              </w:r>
            </w:hyperlink>
          </w:p>
        </w:tc>
      </w:tr>
      <w:tr>
        <w:trPr>
          <w:cantSplit/>
        </w:trPr>
        <w:tc>
          <w:tcPr>
            <w:tcW w:type="dxa" w:w="1506"/>
            <w:tcW w:w="1100" w:type="pct"/>
          </w:tcPr>
          <w:p>
            <w:r>
              <w:rPr>
                <w:rFonts w:ascii="Arial" w:hAnsi="Arial" w:cs="Arial" w:eastAsia="Arial"/>
                <w:b/>
                <w:sz w:val="20"/>
              </w:rPr>
              <w:t>SONIC HELVETIA</w:t>
            </w:r>
          </w:p>
        </w:tc>
        <w:tc>
          <w:tcPr>
            <w:tcW w:type="dxa" w:w="1506"/>
            <w:tcW w:w="1100" w:type="pct"/>
          </w:tcPr>
          <w:p>
            <w:r>
              <w:t>42, 44</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Duplicate registration of the same laboratory-focused mark; same low-risk assessment as the parallel 'SONIC HELVETIA' entry — different word order, different service focus.</w:t>
            </w:r>
          </w:p>
          <w:p>
            <w:hyperlink r:id="rId26">
              <w:r>
                <w:rPr>
                  <w:rFonts w:ascii="Arial" w:hAnsi="Arial" w:cs="Arial" w:eastAsia="Arial"/>
                  <w:sz w:val="16"/>
                  <w:color w:val="666666"/>
                  <w:u w:val="none"/>
                </w:rPr>
                <w:t xml:space="preserve">TMView: CH502024000003581</w:t>
              </w:r>
            </w:hyperlink>
          </w:p>
        </w:tc>
      </w:tr>
      <w:tr>
        <w:trPr>
          <w:cantSplit/>
        </w:trPr>
        <w:tc>
          <w:tcPr>
            <w:tcW w:type="dxa" w:w="1506"/>
            <w:tcW w:w="1100" w:type="pct"/>
          </w:tcPr>
          <w:p>
            <w:r>
              <w:rPr>
                <w:rFonts w:ascii="Arial" w:hAnsi="Arial" w:cs="Arial" w:eastAsia="Arial"/>
                <w:b/>
                <w:sz w:val="20"/>
              </w:rPr>
              <w:t>SONIC HELVETIA</w:t>
            </w:r>
          </w:p>
        </w:tc>
        <w:tc>
          <w:tcPr>
            <w:tcW w:type="dxa" w:w="1506"/>
            <w:tcW w:w="1100" w:type="pct"/>
          </w:tcPr>
          <w:p>
            <w:r>
              <w:t>42</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Class 42 only, focused on scientific/laboratory analysis with generic computer-design wording; the inverted word order and distinctive 'SONIC' element keep confusion risk low.</w:t>
            </w:r>
          </w:p>
          <w:p>
            <w:hyperlink r:id="rId27">
              <w:r>
                <w:rPr>
                  <w:rFonts w:ascii="Arial" w:hAnsi="Arial" w:cs="Arial" w:eastAsia="Arial"/>
                  <w:sz w:val="16"/>
                  <w:color w:val="666666"/>
                  <w:u w:val="none"/>
                </w:rPr>
                <w:t xml:space="preserve">TMView: CH502023000003968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15568"/>
                  <wp:docPr id="1007" name="Picture 1007"/>
                  <wp:cNvGraphicFramePr>
                    <a:graphicFrameLocks noChangeAspect="1"/>
                  </wp:cNvGraphicFramePr>
                  <a:graphic>
                    <a:graphicData uri="http://schemas.openxmlformats.org/drawingml/2006/picture">
                      <pic:pic>
                        <pic:nvPicPr>
                          <pic:cNvPr id="0" name="tmp4p9xo6in.png"/>
                          <pic:cNvPicPr/>
                        </pic:nvPicPr>
                        <pic:blipFill>
                          <a:blip r:embed="rId24"/>
                          <a:stretch>
                            <a:fillRect/>
                          </a:stretch>
                        </pic:blipFill>
                        <pic:spPr>
                          <a:xfrm>
                            <a:off x="0" y="0"/>
                            <a:ext cx="731520" cy="115568"/>
                          </a:xfrm>
                          <a:prstGeom prst="rect"/>
                        </pic:spPr>
                      </pic:pic>
                    </a:graphicData>
                  </a:graphic>
                </wp:inline>
              </w:drawing>
            </w:r>
            <w:r>
              <w:br/>
            </w:r>
            <w:r>
              <w:rPr>
                <w:rFonts w:ascii="Arial" w:hAnsi="Arial" w:cs="Arial" w:eastAsia="Arial"/>
                <w:b/>
                <w:sz w:val="20"/>
              </w:rPr>
              <w:t>SONIC HELVETIA</w:t>
            </w:r>
          </w:p>
        </w:tc>
        <w:tc>
          <w:tcPr>
            <w:tcW w:type="dxa" w:w="1506"/>
            <w:tcW w:w="1100" w:type="pct"/>
          </w:tcPr>
          <w:p>
            <w:r>
              <w:t>42</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Duplicate of the Class 42 'SONIC HELVETIA' registration; same low conflict assessment.</w:t>
            </w:r>
          </w:p>
          <w:p>
            <w:hyperlink r:id="rId28">
              <w:r>
                <w:rPr>
                  <w:rFonts w:ascii="Arial" w:hAnsi="Arial" w:cs="Arial" w:eastAsia="Arial"/>
                  <w:sz w:val="16"/>
                  <w:color w:val="666666"/>
                  <w:u w:val="none"/>
                </w:rPr>
                <w:t xml:space="preserve">TMView: CH502023000003970</w:t>
              </w:r>
            </w:hyperlink>
          </w:p>
        </w:tc>
      </w:tr>
      <w:tr>
        <w:trPr>
          <w:cantSplit/>
        </w:trPr>
        <w:tc>
          <w:tcPr>
            <w:tcW w:type="dxa" w:w="1506"/>
            <w:tcW w:w="1100" w:type="pct"/>
          </w:tcPr>
          <w:p>
            <w:r>
              <w:rPr>
                <w:rFonts w:ascii="Arial" w:hAnsi="Arial" w:cs="Arial" w:eastAsia="Arial"/>
                <w:b/>
                <w:sz w:val="20"/>
              </w:rPr>
              <w:t>HELVETIA BALOISE</w:t>
            </w:r>
          </w:p>
        </w:tc>
        <w:tc>
          <w:tcPr>
            <w:tcW w:type="dxa" w:w="1506"/>
            <w:tcW w:w="1100" w:type="pct"/>
          </w:tcPr>
          <w:p>
            <w:r>
              <w:t>1, 2, 4, 6, 7, 8, 11, 12, 13, 17, 19, 36, 37, 40, 42</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Further registration of the house mark covering financial/banking services in Class 36 and software design/development in Class 42, identical to the target's scope in those classes. Same high-risk conclusion as the other 'HELVETIA BALOISE' registrations.</w:t>
            </w:r>
          </w:p>
          <w:p>
            <w:hyperlink r:id="rId29">
              <w:r>
                <w:rPr>
                  <w:rFonts w:ascii="Arial" w:hAnsi="Arial" w:cs="Arial" w:eastAsia="Arial"/>
                  <w:sz w:val="16"/>
                  <w:color w:val="666666"/>
                  <w:u w:val="none"/>
                </w:rPr>
                <w:t xml:space="preserve">TMView: CH502025000005748</w:t>
              </w:r>
            </w:hyperlink>
          </w:p>
        </w:tc>
      </w:tr>
      <w:tr>
        <w:trPr>
          <w:cantSplit/>
        </w:trPr>
        <w:tc>
          <w:tcPr>
            <w:tcW w:type="dxa" w:w="1506"/>
            <w:tcW w:w="1100" w:type="pct"/>
          </w:tcPr>
          <w:p>
            <w:r>
              <w:rPr>
                <w:rFonts w:ascii="Arial" w:hAnsi="Arial" w:cs="Arial" w:eastAsia="Arial"/>
                <w:b/>
                <w:sz w:val="20"/>
              </w:rPr>
              <w:t>HELVETIA BALOISE</w:t>
            </w:r>
          </w:p>
        </w:tc>
        <w:tc>
          <w:tcPr>
            <w:tcW w:type="dxa" w:w="1506"/>
            <w:tcW w:w="1100" w:type="pct"/>
          </w:tcPr>
          <w:p>
            <w:r>
              <w:t>29, 30, 31, 32, 33, 36, 43</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Class 36 specification again covers identical financial and banking services; the shared 'HELVETIA' house element with identical services sustains a high conflict risk for Class 36.</w:t>
            </w:r>
          </w:p>
          <w:p>
            <w:hyperlink r:id="rId30">
              <w:r>
                <w:rPr>
                  <w:rFonts w:ascii="Arial" w:hAnsi="Arial" w:cs="Arial" w:eastAsia="Arial"/>
                  <w:sz w:val="16"/>
                  <w:color w:val="666666"/>
                  <w:u w:val="none"/>
                </w:rPr>
                <w:t xml:space="preserve">TMView: CH502025000005749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05026"/>
                  <wp:docPr id="1008" name="Picture 1008"/>
                  <wp:cNvGraphicFramePr>
                    <a:graphicFrameLocks noChangeAspect="1"/>
                  </wp:cNvGraphicFramePr>
                  <a:graphic>
                    <a:graphicData uri="http://schemas.openxmlformats.org/drawingml/2006/picture">
                      <pic:pic>
                        <pic:nvPicPr>
                          <pic:cNvPr id="0" name="tmpi04bfuew.png"/>
                          <pic:cNvPicPr/>
                        </pic:nvPicPr>
                        <pic:blipFill>
                          <a:blip r:embed="rId31"/>
                          <a:stretch>
                            <a:fillRect/>
                          </a:stretch>
                        </pic:blipFill>
                        <pic:spPr>
                          <a:xfrm>
                            <a:off x="0" y="0"/>
                            <a:ext cx="731520" cy="205026"/>
                          </a:xfrm>
                          <a:prstGeom prst="rect"/>
                        </pic:spPr>
                      </pic:pic>
                    </a:graphicData>
                  </a:graphic>
                </wp:inline>
              </w:drawing>
            </w:r>
            <w:r>
              <w:br/>
            </w:r>
            <w:r>
              <w:rPr>
                <w:rFonts w:ascii="Arial" w:hAnsi="Arial" w:cs="Arial" w:eastAsia="Arial"/>
                <w:b/>
                <w:sz w:val="20"/>
              </w:rPr>
              <w:t>Tentamus Helvetia</w:t>
            </w:r>
          </w:p>
        </w:tc>
        <w:tc>
          <w:tcPr>
            <w:tcW w:type="dxa" w:w="1506"/>
            <w:tcW w:w="1100" w:type="pct"/>
          </w:tcPr>
          <w:p>
            <w:r>
              <w:t>42</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'Helvetia' is in secondary position beneath the distinctive dominant element 'Tentamus' (confirmed by the logo). Class 42 covers scientific/technological services and software development of Swiss origin — related to the target's Class 42, but the different dominant element keeps risk low.</w:t>
            </w:r>
          </w:p>
          <w:p>
            <w:hyperlink r:id="rId32">
              <w:r>
                <w:rPr>
                  <w:rFonts w:ascii="Arial" w:hAnsi="Arial" w:cs="Arial" w:eastAsia="Arial"/>
                  <w:sz w:val="16"/>
                  <w:color w:val="666666"/>
                  <w:u w:val="none"/>
                </w:rPr>
                <w:t xml:space="preserve">TMView: CH502018000079176</w:t>
              </w:r>
            </w:hyperlink>
          </w:p>
        </w:tc>
      </w:tr>
      <w:tr>
        <w:trPr>
          <w:cantSplit/>
        </w:trPr>
        <w:tc>
          <w:tcPr>
            <w:tcW w:type="dxa" w:w="1506"/>
            <w:tcW w:w="1100" w:type="pct"/>
          </w:tcPr>
          <w:p>
            <w:r>
              <w:rPr>
                <w:rFonts w:ascii="Arial" w:hAnsi="Arial" w:cs="Arial" w:eastAsia="Arial"/>
                <w:b/>
                <w:sz w:val="20"/>
              </w:rPr>
              <w:t>Helvetia Value Trend</w:t>
            </w:r>
          </w:p>
        </w:tc>
        <w:tc>
          <w:tcPr>
            <w:tcW w:type="dxa" w:w="1506"/>
            <w:tcW w:w="1100" w:type="pct"/>
          </w:tcPr>
          <w:p>
            <w:r>
              <w:t>36</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Same 'Helvetia + descriptive tail' structure; Class 36 specification covers financial services, monetary transactions and banking — identical to the target's financial/wallet services. Two MEDIUM dimensions with identical services yield high risk.</w:t>
            </w:r>
          </w:p>
          <w:p>
            <w:hyperlink r:id="rId33">
              <w:r>
                <w:rPr>
                  <w:rFonts w:ascii="Arial" w:hAnsi="Arial" w:cs="Arial" w:eastAsia="Arial"/>
                  <w:sz w:val="16"/>
                  <w:color w:val="666666"/>
                  <w:u w:val="none"/>
                </w:rPr>
                <w:t xml:space="preserve">TMView: CH502022000002975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82892"/>
                  <wp:docPr id="1009" name="Picture 1009"/>
                  <wp:cNvGraphicFramePr>
                    <a:graphicFrameLocks noChangeAspect="1"/>
                  </wp:cNvGraphicFramePr>
                  <a:graphic>
                    <a:graphicData uri="http://schemas.openxmlformats.org/drawingml/2006/picture">
                      <pic:pic>
                        <pic:nvPicPr>
                          <pic:cNvPr id="0" name="tmpacvdudmt.png"/>
                          <pic:cNvPicPr/>
                        </pic:nvPicPr>
                        <pic:blipFill>
                          <a:blip r:embed="rId34"/>
                          <a:stretch>
                            <a:fillRect/>
                          </a:stretch>
                        </pic:blipFill>
                        <pic:spPr>
                          <a:xfrm>
                            <a:off x="0" y="0"/>
                            <a:ext cx="731520" cy="282892"/>
                          </a:xfrm>
                          <a:prstGeom prst="rect"/>
                        </pic:spPr>
                      </pic:pic>
                    </a:graphicData>
                  </a:graphic>
                </wp:inline>
              </w:drawing>
            </w:r>
            <w:r>
              <w:br/>
            </w:r>
            <w:r>
              <w:rPr>
                <w:rFonts w:ascii="Arial" w:hAnsi="Arial" w:cs="Arial" w:eastAsia="Arial"/>
                <w:b/>
                <w:sz w:val="20"/>
              </w:rPr>
              <w:t>HelvetiaCom</w:t>
            </w:r>
          </w:p>
        </w:tc>
        <w:tc>
          <w:tcPr>
            <w:tcW w:type="dxa" w:w="1506"/>
            <w:tcW w:w="1100" w:type="pct"/>
          </w:tcPr>
          <w:p>
            <w:r>
              <w:t>9, 36, 38, 42</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Shares the full 'Helvetia' element; its actual specifications include hardware wallets for cryptocurrencies (Class 9) and electronic payment processing (Class 36) — squarely identical to an online-wallet business. This is one of the closest conflicts on actual goods/services scope.</w:t>
            </w:r>
          </w:p>
          <w:p>
            <w:hyperlink r:id="rId35">
              <w:r>
                <w:rPr>
                  <w:rFonts w:ascii="Arial" w:hAnsi="Arial" w:cs="Arial" w:eastAsia="Arial"/>
                  <w:sz w:val="16"/>
                  <w:color w:val="666666"/>
                  <w:u w:val="none"/>
                </w:rPr>
                <w:t xml:space="preserve">TMView: CH502025000003604</w:t>
              </w:r>
            </w:hyperlink>
          </w:p>
        </w:tc>
      </w:tr>
      <w:tr>
        <w:trPr>
          <w:cantSplit/>
        </w:trPr>
        <w:tc>
          <w:tcPr>
            <w:tcW w:type="dxa" w:w="1506"/>
            <w:tcW w:w="1100" w:type="pct"/>
          </w:tcPr>
          <w:p>
            <w:r>
              <w:rPr>
                <w:rFonts w:ascii="Arial" w:hAnsi="Arial" w:cs="Arial" w:eastAsia="Arial"/>
                <w:b/>
                <w:sz w:val="20"/>
              </w:rPr>
              <w:t>Helvetic Rise</w:t>
            </w:r>
          </w:p>
        </w:tc>
        <w:tc>
          <w:tcPr>
            <w:tcW w:type="dxa" w:w="1506"/>
            <w:tcW w:w="1100" w:type="pct"/>
          </w:tcPr>
          <w:p>
            <w:r>
              <w:t>9, 28, 35, 36, 41, 42</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'Helvetic' is nearly identical to 'Helvetia' visually and phonetically in the leading position; specifications cover software (Class 9), finance and monetary affairs (Class 36) and software development (Class 42), identical to the target's scope. Multiple medium similarities with identical services produce a high conflict risk.</w:t>
            </w:r>
          </w:p>
          <w:p>
            <w:hyperlink r:id="rId36">
              <w:r>
                <w:rPr>
                  <w:rFonts w:ascii="Arial" w:hAnsi="Arial" w:cs="Arial" w:eastAsia="Arial"/>
                  <w:sz w:val="16"/>
                  <w:color w:val="666666"/>
                  <w:u w:val="none"/>
                </w:rPr>
                <w:t xml:space="preserve">TMView: CH502020000010318</w:t>
              </w:r>
            </w:hyperlink>
          </w:p>
        </w:tc>
      </w:tr>
      <w:tr>
        <w:trPr>
          <w:cantSplit/>
        </w:trPr>
        <w:tc>
          <w:tcPr>
            <w:tcW w:type="dxa" w:w="1506"/>
            <w:tcW w:w="1100" w:type="pct"/>
          </w:tcPr>
          <w:p>
            <w:r>
              <w:rPr>
                <w:rFonts w:ascii="Arial" w:hAnsi="Arial" w:cs="Arial" w:eastAsia="Arial"/>
                <w:b/>
                <w:sz w:val="20"/>
              </w:rPr>
              <w:t>Helvetium</w:t>
            </w:r>
          </w:p>
        </w:tc>
        <w:tc>
          <w:tcPr>
            <w:tcW w:type="dxa" w:w="1506"/>
            <w:tcW w:w="1100" w:type="pct"/>
          </w:tcPr>
          <w:p>
            <w:r>
              <w:t>36</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Single-word variant sharing the 'Helveti-' stem; Class 36 covers financial services, monetary transactions and banking services identical to the target's core scope, producing a high conflict risk in Class 36.</w:t>
            </w:r>
          </w:p>
          <w:p>
            <w:hyperlink r:id="rId37">
              <w:r>
                <w:rPr>
                  <w:rFonts w:ascii="Arial" w:hAnsi="Arial" w:cs="Arial" w:eastAsia="Arial"/>
                  <w:sz w:val="16"/>
                  <w:color w:val="666666"/>
                  <w:u w:val="none"/>
                </w:rPr>
                <w:t xml:space="preserve">TMView: CH502022000014317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0754"/>
                  <wp:docPr id="1010" name="Picture 1010"/>
                  <wp:cNvGraphicFramePr>
                    <a:graphicFrameLocks noChangeAspect="1"/>
                  </wp:cNvGraphicFramePr>
                  <a:graphic>
                    <a:graphicData uri="http://schemas.openxmlformats.org/drawingml/2006/picture">
                      <pic:pic>
                        <pic:nvPicPr>
                          <pic:cNvPr id="0" name="tmp4d2vmqr3.png"/>
                          <pic:cNvPicPr/>
                        </pic:nvPicPr>
                        <pic:blipFill>
                          <a:blip r:embed="rId38"/>
                          <a:stretch>
                            <a:fillRect/>
                          </a:stretch>
                        </pic:blipFill>
                        <pic:spPr>
                          <a:xfrm>
                            <a:off x="0" y="0"/>
                            <a:ext cx="731520" cy="320754"/>
                          </a:xfrm>
                          <a:prstGeom prst="rect"/>
                        </pic:spPr>
                      </pic:pic>
                    </a:graphicData>
                  </a:graphic>
                </wp:inline>
              </w:drawing>
            </w:r>
            <w:r>
              <w:br/>
            </w:r>
            <w:r>
              <w:rPr>
                <w:rFonts w:ascii="Arial" w:hAnsi="Arial" w:cs="Arial" w:eastAsia="Arial"/>
                <w:b/>
                <w:sz w:val="20"/>
              </w:rPr>
              <w:t>helvetia ImmoWorld</w:t>
            </w:r>
          </w:p>
        </w:tc>
        <w:tc>
          <w:tcPr>
            <w:tcW w:type="dxa" w:w="1506"/>
            <w:tcW w:w="1100" w:type="pct"/>
          </w:tcPr>
          <w:p>
            <w:r>
              <w:t>16, 35, 36, 37, 42, 45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Same 'helvetia + suffix' structure with the same triangle device as the Helvetia insurance house marks; its extremely broad Class 36 specification expressly includes online financial transactions, payment-related and crypto staking services, identical to the target's wallet/financial scope, plus financial software rental in Class 42.</w:t>
            </w:r>
          </w:p>
          <w:p>
            <w:hyperlink r:id="rId39">
              <w:r>
                <w:rPr>
                  <w:rFonts w:ascii="Arial" w:hAnsi="Arial" w:cs="Arial" w:eastAsia="Arial"/>
                  <w:sz w:val="16"/>
                  <w:color w:val="666666"/>
                  <w:u w:val="none"/>
                </w:rPr>
                <w:t xml:space="preserve">TMView: CH502021000009163</w:t>
              </w:r>
            </w:hyperlink>
          </w:p>
        </w:tc>
      </w:tr>
      <w:tr>
        <w:trPr>
          <w:cantSplit/>
        </w:trPr>
        <w:tc>
          <w:tcPr>
            <w:tcW w:type="dxa" w:w="1506"/>
            <w:tcW w:w="1100" w:type="pct"/>
          </w:tcPr>
          <w:p>
            <w:r>
              <w:rPr>
                <w:rFonts w:ascii="Arial" w:hAnsi="Arial" w:cs="Arial" w:eastAsia="Arial"/>
                <w:b/>
                <w:sz w:val="20"/>
              </w:rPr>
              <w:t>HELVETICA</w:t>
            </w:r>
          </w:p>
        </w:tc>
        <w:tc>
          <w:tcPr>
            <w:tcW w:type="dxa" w:w="1506"/>
            <w:tcW w:w="1100" w:type="pct"/>
          </w:tcPr>
          <w:p>
            <w:r>
              <w:t>16, 9, 42</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'HELVETICA' differs by one letter but its actual goods/services are strictly limited to typeface/font software and font-generation services — a different commercial sector from financial wallet software. Recordals show a provisional refusal (2024) later overcome by a statement of grant of protection (2025), so the mark IS protected in Switzerland; nonetheless the unrelated goods keep conflict risk low.</w:t>
            </w:r>
          </w:p>
          <w:p>
            <w:hyperlink r:id="rId40">
              <w:r>
                <w:rPr>
                  <w:rFonts w:ascii="Arial" w:hAnsi="Arial" w:cs="Arial" w:eastAsia="Arial"/>
                  <w:sz w:val="16"/>
                  <w:color w:val="666666"/>
                  <w:u w:val="none"/>
                </w:rPr>
                <w:t xml:space="preserve">TMView: WO500000001752855</w:t>
              </w:r>
            </w:hyperlink>
          </w:p>
        </w:tc>
      </w:tr>
      <w:tr>
        <w:trPr>
          <w:cantSplit/>
        </w:trPr>
        <w:tc>
          <w:tcPr>
            <w:tcW w:type="dxa" w:w="1506"/>
            <w:tcW w:w="1100" w:type="pct"/>
          </w:tcPr>
          <w:p>
            <w:r>
              <w:rPr>
                <w:rFonts w:ascii="Arial" w:hAnsi="Arial" w:cs="Arial" w:eastAsia="Arial"/>
                <w:b/>
                <w:sz w:val="20"/>
              </w:rPr>
              <w:t>HELVETICA</w:t>
            </w:r>
          </w:p>
        </w:tc>
        <w:tc>
          <w:tcPr>
            <w:tcW w:type="dxa" w:w="1506"/>
            <w:tcW w:w="1100" w:type="pct"/>
          </w:tcPr>
          <w:p>
            <w:r>
              <w:t>9, 16</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Specification is limited to typefaces and font designs stored on media — unrelated to financial services and wallet software, so despite name proximity the conflict risk is low.</w:t>
            </w:r>
          </w:p>
          <w:p>
            <w:hyperlink r:id="rId41">
              <w:r>
                <w:rPr>
                  <w:rFonts w:ascii="Arial" w:hAnsi="Arial" w:cs="Arial" w:eastAsia="Arial"/>
                  <w:sz w:val="16"/>
                  <w:color w:val="666666"/>
                  <w:u w:val="none"/>
                </w:rPr>
                <w:t xml:space="preserve">TMView: CH502009000051603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3686"/>
                  <wp:docPr id="1011" name="Picture 1011"/>
                  <wp:cNvGraphicFramePr>
                    <a:graphicFrameLocks noChangeAspect="1"/>
                  </wp:cNvGraphicFramePr>
                  <a:graphic>
                    <a:graphicData uri="http://schemas.openxmlformats.org/drawingml/2006/picture">
                      <pic:pic>
                        <pic:nvPicPr>
                          <pic:cNvPr id="0" name="tmp_uf2n865.png"/>
                          <pic:cNvPicPr/>
                        </pic:nvPicPr>
                        <pic:blipFill>
                          <a:blip r:embed="rId42"/>
                          <a:stretch>
                            <a:fillRect/>
                          </a:stretch>
                        </pic:blipFill>
                        <pic:spPr>
                          <a:xfrm>
                            <a:off x="0" y="0"/>
                            <a:ext cx="731520" cy="183686"/>
                          </a:xfrm>
                          <a:prstGeom prst="rect"/>
                        </pic:spPr>
                      </pic:pic>
                    </a:graphicData>
                  </a:graphic>
                </wp:inline>
              </w:drawing>
            </w:r>
            <w:r>
              <w:br/>
            </w:r>
            <w:r>
              <w:rPr>
                <w:rFonts w:ascii="Arial" w:hAnsi="Arial" w:cs="Arial" w:eastAsia="Arial"/>
                <w:b/>
                <w:sz w:val="20"/>
              </w:rPr>
              <w:t>Helvetica</w:t>
            </w:r>
          </w:p>
        </w:tc>
        <w:tc>
          <w:tcPr>
            <w:tcW w:type="dxa" w:w="1506"/>
            <w:tcW w:w="1100" w:type="pct"/>
          </w:tcPr>
          <w:p>
            <w:r>
              <w:t>36</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Differs from 'HELVETIA' in the target by only one letter and covers insurance, financial affairs, fiduciary matters, monetary affairs and wealth management in Class 36 — effectively identical services. This is a potential blocking citation for Class 36 due to near-identity of the dominant element combined with identical services.</w:t>
            </w:r>
          </w:p>
          <w:p>
            <w:hyperlink r:id="rId43">
              <w:r>
                <w:rPr>
                  <w:rFonts w:ascii="Arial" w:hAnsi="Arial" w:cs="Arial" w:eastAsia="Arial"/>
                  <w:sz w:val="16"/>
                  <w:color w:val="666666"/>
                  <w:u w:val="none"/>
                </w:rPr>
                <w:t xml:space="preserve">TMView: CH502013000059332</w:t>
              </w:r>
            </w:hyperlink>
          </w:p>
        </w:tc>
      </w:tr>
      <w:tr>
        <w:trPr>
          <w:cantSplit/>
        </w:trPr>
        <w:tc>
          <w:tcPr>
            <w:tcW w:type="dxa" w:w="1506"/>
            <w:tcW w:w="1100" w:type="pct"/>
          </w:tcPr>
          <w:p>
            <w:r>
              <w:rPr>
                <w:rFonts w:ascii="Arial" w:hAnsi="Arial" w:cs="Arial" w:eastAsia="Arial"/>
                <w:b/>
                <w:sz w:val="20"/>
              </w:rPr>
              <w:t>HELVETICA</w:t>
            </w:r>
          </w:p>
        </w:tc>
        <w:tc>
          <w:tcPr>
            <w:tcW w:type="dxa" w:w="1506"/>
            <w:tcW w:w="1100" w:type="pct"/>
          </w:tcPr>
          <w:p>
            <w:r>
              <w:t>9, 16</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Covers letters, characters and digitally stored fonts — the typography sector, unrelated to financial/wallet services; conflict risk is low despite the similar name.</w:t>
            </w:r>
          </w:p>
          <w:p>
            <w:hyperlink r:id="rId44">
              <w:r>
                <w:rPr>
                  <w:rFonts w:ascii="Arial" w:hAnsi="Arial" w:cs="Arial" w:eastAsia="Arial"/>
                  <w:sz w:val="16"/>
                  <w:color w:val="666666"/>
                  <w:u w:val="none"/>
                </w:rPr>
                <w:t xml:space="preserve">TMView: CH501988000006506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22872"/>
                  <wp:docPr id="1012" name="Picture 1012"/>
                  <wp:cNvGraphicFramePr>
                    <a:graphicFrameLocks noChangeAspect="1"/>
                  </wp:cNvGraphicFramePr>
                  <a:graphic>
                    <a:graphicData uri="http://schemas.openxmlformats.org/drawingml/2006/picture">
                      <pic:pic>
                        <pic:nvPicPr>
                          <pic:cNvPr id="0" name="tmpiqo2xvpi.png"/>
                          <pic:cNvPicPr/>
                        </pic:nvPicPr>
                        <pic:blipFill>
                          <a:blip r:embed="rId45"/>
                          <a:stretch>
                            <a:fillRect/>
                          </a:stretch>
                        </pic:blipFill>
                        <pic:spPr>
                          <a:xfrm>
                            <a:off x="0" y="0"/>
                            <a:ext cx="731520" cy="122872"/>
                          </a:xfrm>
                          <a:prstGeom prst="rect"/>
                        </pic:spPr>
                      </pic:pic>
                    </a:graphicData>
                  </a:graphic>
                </wp:inline>
              </w:drawing>
            </w:r>
            <w:r>
              <w:br/>
            </w:r>
            <w:r>
              <w:rPr>
                <w:rFonts w:ascii="Arial" w:hAnsi="Arial" w:cs="Arial" w:eastAsia="Arial"/>
                <w:b/>
                <w:sz w:val="20"/>
              </w:rPr>
              <w:t>Helvetica</w:t>
            </w:r>
          </w:p>
        </w:tc>
        <w:tc>
          <w:tcPr>
            <w:tcW w:type="dxa" w:w="1506"/>
            <w:tcW w:w="1100" w:type="pct"/>
          </w:tcPr>
          <w:p>
            <w:r>
              <w:t>9, 35, 36, 38</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One-letter difference from the target's dominant element, and its specifications cover computer software and mobile applications (Class 9) plus internet banking, credit cards and computerized financial services (Class 36) — identical to an online-wallet offering. This mark represents a potential blocking citation across the target's core classes; the stylized logo differs but the word element dominates.</w:t>
            </w:r>
          </w:p>
          <w:p>
            <w:hyperlink r:id="rId46">
              <w:r>
                <w:rPr>
                  <w:rFonts w:ascii="Arial" w:hAnsi="Arial" w:cs="Arial" w:eastAsia="Arial"/>
                  <w:sz w:val="16"/>
                  <w:color w:val="666666"/>
                  <w:u w:val="none"/>
                </w:rPr>
                <w:t xml:space="preserve">TMView: CH502020000005176</w:t>
              </w:r>
            </w:hyperlink>
          </w:p>
        </w:tc>
      </w:tr>
      <w:tr>
        <w:trPr>
          <w:cantSplit/>
        </w:trPr>
        <w:tc>
          <w:tcPr>
            <w:tcW w:type="dxa" w:w="1506"/>
            <w:tcW w:w="1100" w:type="pct"/>
          </w:tcPr>
          <w:p>
            <w:r>
              <w:rPr>
                <w:rFonts w:ascii="Arial" w:hAnsi="Arial" w:cs="Arial" w:eastAsia="Arial"/>
                <w:b/>
                <w:sz w:val="20"/>
              </w:rPr>
              <w:t>Helvetia Smart Trend</w:t>
            </w:r>
          </w:p>
        </w:tc>
        <w:tc>
          <w:tcPr>
            <w:tcW w:type="dxa" w:w="1506"/>
            <w:tcW w:w="1100" w:type="pct"/>
          </w:tcPr>
          <w:p>
            <w:r>
              <w:t>36</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Same 'Helvetia + English tail' pattern; Class 36 covers financial services, monetary transactions and banking identical to the target's scope, so high conflict risk applies in Class 36.</w:t>
            </w:r>
          </w:p>
          <w:p>
            <w:hyperlink r:id="rId47">
              <w:r>
                <w:rPr>
                  <w:rFonts w:ascii="Arial" w:hAnsi="Arial" w:cs="Arial" w:eastAsia="Arial"/>
                  <w:sz w:val="16"/>
                  <w:color w:val="666666"/>
                  <w:u w:val="none"/>
                </w:rPr>
                <w:t xml:space="preserve">TMView: CH502023000008898</w:t>
              </w:r>
            </w:hyperlink>
          </w:p>
        </w:tc>
      </w:tr>
      <w:tr>
        <w:trPr>
          <w:cantSplit/>
        </w:trPr>
        <w:tc>
          <w:tcPr>
            <w:tcW w:type="dxa" w:w="1506"/>
            <w:tcW w:w="1100" w:type="pct"/>
          </w:tcPr>
          <w:p>
            <w:r>
              <w:rPr>
                <w:rFonts w:ascii="Arial" w:hAnsi="Arial" w:cs="Arial" w:eastAsia="Arial"/>
                <w:b/>
                <w:sz w:val="20"/>
              </w:rPr>
              <w:t>HELVETIA</w:t>
            </w:r>
          </w:p>
        </w:tc>
        <w:tc>
          <w:tcPr>
            <w:tcW w:type="dxa" w:w="1506"/>
            <w:tcW w:w="1100" w:type="pct"/>
          </w:tcPr>
          <w:p>
            <w:r>
              <w:t>42</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Identical to the target's dominant element, but the specification is limited to insurance-linked outpatient clinics — a medical service unrelated to wallet technology services, keeping conflict risk low despite mark identity.</w:t>
            </w:r>
          </w:p>
          <w:p>
            <w:hyperlink r:id="rId48">
              <w:r>
                <w:rPr>
                  <w:rFonts w:ascii="Arial" w:hAnsi="Arial" w:cs="Arial" w:eastAsia="Arial"/>
                  <w:sz w:val="16"/>
                  <w:color w:val="666666"/>
                  <w:u w:val="none"/>
                </w:rPr>
                <w:t xml:space="preserve">TMView: CH501995000008974</w:t>
              </w:r>
            </w:hyperlink>
          </w:p>
        </w:tc>
      </w:tr>
      <w:tr>
        <w:trPr>
          <w:cantSplit/>
        </w:trPr>
        <w:tc>
          <w:tcPr>
            <w:tcW w:type="dxa" w:w="1506"/>
            <w:tcW w:w="1100" w:type="pct"/>
          </w:tcPr>
          <w:p>
            <w:r>
              <w:rPr>
                <w:rFonts w:ascii="Arial" w:hAnsi="Arial" w:cs="Arial" w:eastAsia="Arial"/>
                <w:b/>
                <w:sz w:val="20"/>
              </w:rPr>
              <w:t>HELVETIA</w:t>
            </w:r>
          </w:p>
        </w:tc>
        <w:tc>
          <w:tcPr>
            <w:tcW w:type="dxa" w:w="1506"/>
            <w:tcW w:w="1100" w:type="pct"/>
          </w:tcPr>
          <w:p>
            <w:r>
              <w:t>36, 16, 9, 41, 42</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Identical dominant word; covers insurance (Class 36) plus data carriers and computer programs in the health/insurance field (Class 9). Insurance is closely related to financial services, and the identical word element with related services makes this a high conflict risk.</w:t>
            </w:r>
          </w:p>
          <w:p>
            <w:hyperlink r:id="rId49">
              <w:r>
                <w:rPr>
                  <w:rFonts w:ascii="Arial" w:hAnsi="Arial" w:cs="Arial" w:eastAsia="Arial"/>
                  <w:sz w:val="16"/>
                  <w:color w:val="666666"/>
                  <w:u w:val="none"/>
                </w:rPr>
                <w:t xml:space="preserve">TMView: CH501995000005885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8304"/>
                  <wp:docPr id="1013" name="Picture 1013"/>
                  <wp:cNvGraphicFramePr>
                    <a:graphicFrameLocks noChangeAspect="1"/>
                  </wp:cNvGraphicFramePr>
                  <a:graphic>
                    <a:graphicData uri="http://schemas.openxmlformats.org/drawingml/2006/picture">
                      <pic:pic>
                        <pic:nvPicPr>
                          <pic:cNvPr id="0" name="tmpzl_u7_v5.png"/>
                          <pic:cNvPicPr/>
                        </pic:nvPicPr>
                        <pic:blipFill>
                          <a:blip r:embed="rId50"/>
                          <a:stretch>
                            <a:fillRect/>
                          </a:stretch>
                        </pic:blipFill>
                        <pic:spPr>
                          <a:xfrm>
                            <a:off x="0" y="0"/>
                            <a:ext cx="731520" cy="188304"/>
                          </a:xfrm>
                          <a:prstGeom prst="rect"/>
                        </pic:spPr>
                      </pic:pic>
                    </a:graphicData>
                  </a:graphic>
                </wp:inline>
              </w:drawing>
            </w:r>
            <w:r>
              <w:br/>
            </w:r>
            <w:r>
              <w:rPr>
                <w:rFonts w:ascii="Arial" w:hAnsi="Arial" w:cs="Arial" w:eastAsia="Arial"/>
                <w:b/>
                <w:sz w:val="20"/>
              </w:rPr>
              <w:t>helvetia</w:t>
            </w:r>
          </w:p>
        </w:tc>
        <w:tc>
          <w:tcPr>
            <w:tcW w:type="dxa" w:w="1506"/>
            <w:tcW w:w="1100" w:type="pct"/>
          </w:tcPr>
          <w:p>
            <w:r>
              <w:t>9</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Identical word but the old specification covers only records, tape cassettes and compact discs of Swiss origin — sound carriers unrelated to wallet software, so conflict risk is low.</w:t>
            </w:r>
          </w:p>
          <w:p>
            <w:hyperlink r:id="rId51">
              <w:r>
                <w:rPr>
                  <w:rFonts w:ascii="Arial" w:hAnsi="Arial" w:cs="Arial" w:eastAsia="Arial"/>
                  <w:sz w:val="16"/>
                  <w:color w:val="666666"/>
                  <w:u w:val="none"/>
                </w:rPr>
                <w:t xml:space="preserve">TMView: CH501987000007483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76574"/>
                  <wp:docPr id="1014" name="Picture 1014"/>
                  <wp:cNvGraphicFramePr>
                    <a:graphicFrameLocks noChangeAspect="1"/>
                  </wp:cNvGraphicFramePr>
                  <a:graphic>
                    <a:graphicData uri="http://schemas.openxmlformats.org/drawingml/2006/picture">
                      <pic:pic>
                        <pic:nvPicPr>
                          <pic:cNvPr id="0" name="tmpf9aet7xc.png"/>
                          <pic:cNvPicPr/>
                        </pic:nvPicPr>
                        <pic:blipFill>
                          <a:blip r:embed="rId52"/>
                          <a:stretch>
                            <a:fillRect/>
                          </a:stretch>
                        </pic:blipFill>
                        <pic:spPr>
                          <a:xfrm>
                            <a:off x="0" y="0"/>
                            <a:ext cx="731520" cy="176574"/>
                          </a:xfrm>
                          <a:prstGeom prst="rect"/>
                        </pic:spPr>
                      </pic:pic>
                    </a:graphicData>
                  </a:graphic>
                </wp:inline>
              </w:drawing>
            </w:r>
            <w:r>
              <w:br/>
            </w:r>
            <w:r>
              <w:rPr>
                <w:rFonts w:ascii="Arial" w:hAnsi="Arial" w:cs="Arial" w:eastAsia="Arial"/>
                <w:b/>
                <w:sz w:val="20"/>
              </w:rPr>
              <w:t>Helvetia</w:t>
            </w:r>
          </w:p>
        </w:tc>
        <w:tc>
          <w:tcPr>
            <w:tcW w:type="dxa" w:w="1506"/>
            <w:tcW w:w="1100" w:type="pct"/>
          </w:tcPr>
          <w:p>
            <w:r>
              <w:t>36, 41, 42</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Identical dominant word covering insurance (Class 36) and data-processing program creation (Class 42). Insurance and programming services are related to the target's financial services and technology scope; identical word plus related services yields high risk.</w:t>
            </w:r>
          </w:p>
          <w:p>
            <w:hyperlink r:id="rId53">
              <w:r>
                <w:rPr>
                  <w:rFonts w:ascii="Arial" w:hAnsi="Arial" w:cs="Arial" w:eastAsia="Arial"/>
                  <w:sz w:val="16"/>
                  <w:color w:val="666666"/>
                  <w:u w:val="none"/>
                </w:rPr>
                <w:t xml:space="preserve">TMView: CH501995000005886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67341"/>
                  <wp:docPr id="1015" name="Picture 1015"/>
                  <wp:cNvGraphicFramePr>
                    <a:graphicFrameLocks noChangeAspect="1"/>
                  </wp:cNvGraphicFramePr>
                  <a:graphic>
                    <a:graphicData uri="http://schemas.openxmlformats.org/drawingml/2006/picture">
                      <pic:pic>
                        <pic:nvPicPr>
                          <pic:cNvPr id="0" name="tmpzbkc0kux.png"/>
                          <pic:cNvPicPr/>
                        </pic:nvPicPr>
                        <pic:blipFill>
                          <a:blip r:embed="rId54"/>
                          <a:stretch>
                            <a:fillRect/>
                          </a:stretch>
                        </pic:blipFill>
                        <pic:spPr>
                          <a:xfrm>
                            <a:off x="0" y="0"/>
                            <a:ext cx="731520" cy="167341"/>
                          </a:xfrm>
                          <a:prstGeom prst="rect"/>
                        </pic:spPr>
                      </pic:pic>
                    </a:graphicData>
                  </a:graphic>
                </wp:inline>
              </w:drawing>
            </w:r>
            <w:r>
              <w:br/>
            </w:r>
            <w:r>
              <w:rPr>
                <w:rFonts w:ascii="Arial" w:hAnsi="Arial" w:cs="Arial" w:eastAsia="Arial"/>
                <w:b/>
                <w:sz w:val="20"/>
              </w:rPr>
              <w:t>Helvetia</w:t>
            </w:r>
          </w:p>
        </w:tc>
        <w:tc>
          <w:tcPr>
            <w:tcW w:type="dxa" w:w="1506"/>
            <w:tcW w:w="1100" w:type="pct"/>
          </w:tcPr>
          <w:p>
            <w:r>
              <w:t>42</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Identical word but limited to clinics, hospitals and healthcare services — unrelated to the target's software/fintech Class 42 scope, so risk remains low.</w:t>
            </w:r>
          </w:p>
          <w:p>
            <w:hyperlink r:id="rId55">
              <w:r>
                <w:rPr>
                  <w:rFonts w:ascii="Arial" w:hAnsi="Arial" w:cs="Arial" w:eastAsia="Arial"/>
                  <w:sz w:val="16"/>
                  <w:color w:val="666666"/>
                  <w:u w:val="none"/>
                </w:rPr>
                <w:t xml:space="preserve">TMView: CH501995000008975</w:t>
              </w:r>
            </w:hyperlink>
          </w:p>
        </w:tc>
      </w:tr>
      <w:tr>
        <w:trPr>
          <w:cantSplit/>
        </w:trPr>
        <w:tc>
          <w:tcPr>
            <w:tcW w:type="dxa" w:w="1506"/>
            <w:tcW w:w="1100" w:type="pct"/>
          </w:tcPr>
          <w:p>
            <w:r>
              <w:rPr>
                <w:rFonts w:ascii="Arial" w:hAnsi="Arial" w:cs="Arial" w:eastAsia="Arial"/>
                <w:b/>
                <w:sz w:val="20"/>
              </w:rPr>
              <w:t>HELVETIA</w:t>
            </w:r>
          </w:p>
        </w:tc>
        <w:tc>
          <w:tcPr>
            <w:tcW w:type="dxa" w:w="1506"/>
            <w:tcW w:w="1100" w:type="pct"/>
          </w:tcPr>
          <w:p>
            <w:r>
              <w:t>36</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Identical to the target's dominant element and covers insurance together with connected financial, monetary and real-estate transactions in Class 36 — identical services. This is a potential blocking citation for Class 36: near-identity across all similarity dimensions with identical services.</w:t>
            </w:r>
          </w:p>
          <w:p>
            <w:hyperlink r:id="rId56">
              <w:r>
                <w:rPr>
                  <w:rFonts w:ascii="Arial" w:hAnsi="Arial" w:cs="Arial" w:eastAsia="Arial"/>
                  <w:sz w:val="16"/>
                  <w:color w:val="666666"/>
                  <w:u w:val="none"/>
                </w:rPr>
                <w:t xml:space="preserve">TMView: CH501995000002418</w:t>
              </w:r>
            </w:hyperlink>
          </w:p>
        </w:tc>
      </w:tr>
      <w:tr>
        <w:trPr>
          <w:cantSplit/>
        </w:trPr>
        <w:tc>
          <w:tcPr>
            <w:tcW w:type="dxa" w:w="1506"/>
            <w:tcW w:w="1100" w:type="pct"/>
          </w:tcPr>
          <w:p>
            <w:r>
              <w:rPr>
                <w:rFonts w:ascii="Arial" w:hAnsi="Arial" w:cs="Arial" w:eastAsia="Arial"/>
                <w:b/>
                <w:sz w:val="20"/>
              </w:rPr>
              <w:t>HELVETIA</w:t>
            </w:r>
          </w:p>
        </w:tc>
        <w:tc>
          <w:tcPr>
            <w:tcW w:type="dxa" w:w="1506"/>
            <w:tcW w:w="1100" w:type="pct"/>
          </w:tcPr>
          <w:p>
            <w:r>
              <w:t>9, 42</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Identical dominant word covering downloadable software and chatbot software (Class 9) and online software provision and software R&amp;D (Class 42). Although oriented to e-government/AI, the broad software wording is related — arguably overlapping — with the target's wallet app and technology services, so risk is high in Classes 9 and 42.</w:t>
            </w:r>
          </w:p>
          <w:p>
            <w:hyperlink r:id="rId57">
              <w:r>
                <w:rPr>
                  <w:rFonts w:ascii="Arial" w:hAnsi="Arial" w:cs="Arial" w:eastAsia="Arial"/>
                  <w:sz w:val="16"/>
                  <w:color w:val="666666"/>
                  <w:u w:val="none"/>
                </w:rPr>
                <w:t xml:space="preserve">TMView: CH502024000004008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37874"/>
                  <wp:docPr id="1016" name="Picture 1016"/>
                  <wp:cNvGraphicFramePr>
                    <a:graphicFrameLocks noChangeAspect="1"/>
                  </wp:cNvGraphicFramePr>
                  <a:graphic>
                    <a:graphicData uri="http://schemas.openxmlformats.org/drawingml/2006/picture">
                      <pic:pic>
                        <pic:nvPicPr>
                          <pic:cNvPr id="0" name="tmpw1b56ohq.png"/>
                          <pic:cNvPicPr/>
                        </pic:nvPicPr>
                        <pic:blipFill>
                          <a:blip r:embed="rId58"/>
                          <a:stretch>
                            <a:fillRect/>
                          </a:stretch>
                        </pic:blipFill>
                        <pic:spPr>
                          <a:xfrm>
                            <a:off x="0" y="0"/>
                            <a:ext cx="731520" cy="137874"/>
                          </a:xfrm>
                          <a:prstGeom prst="rect"/>
                        </pic:spPr>
                      </pic:pic>
                    </a:graphicData>
                  </a:graphic>
                </wp:inline>
              </w:drawing>
            </w:r>
            <w:r>
              <w:br/>
            </w:r>
            <w:r>
              <w:rPr>
                <w:rFonts w:ascii="Arial" w:hAnsi="Arial" w:cs="Arial" w:eastAsia="Arial"/>
                <w:b/>
                <w:sz w:val="20"/>
              </w:rPr>
              <w:t>helvetia</w:t>
            </w:r>
          </w:p>
        </w:tc>
        <w:tc>
          <w:tcPr>
            <w:tcW w:type="dxa" w:w="1506"/>
            <w:tcW w:w="1100" w:type="pct"/>
          </w:tcPr>
          <w:p>
            <w:r>
              <w:t>9, 28, 35, 36, 38, 41, 42, 45</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The Helvetia insurance group's modern house mark: identical word, and its specifications cover computer software and mobile apps (Class 9), the full range of financial and banking services (Class 36) and SaaS/software development (Class 42) — identical to every target class. This is the primary blocking citation: near-identity across all dimensions with identical goods and services.</w:t>
            </w:r>
          </w:p>
          <w:p>
            <w:hyperlink r:id="rId59">
              <w:r>
                <w:rPr>
                  <w:rFonts w:ascii="Arial" w:hAnsi="Arial" w:cs="Arial" w:eastAsia="Arial"/>
                  <w:sz w:val="16"/>
                  <w:color w:val="666666"/>
                  <w:u w:val="none"/>
                </w:rPr>
                <w:t xml:space="preserve">TMView: CH502026000002058</w:t>
              </w:r>
            </w:hyperlink>
          </w:p>
        </w:tc>
      </w:tr>
      <w:tr>
        <w:trPr>
          <w:cantSplit/>
        </w:trPr>
        <w:tc>
          <w:tcPr>
            <w:tcW w:type="dxa" w:w="1506"/>
            <w:tcW w:w="1100" w:type="pct"/>
          </w:tcPr>
          <w:p>
            <w:r>
              <w:rPr>
                <w:rFonts w:ascii="Arial" w:hAnsi="Arial" w:cs="Arial" w:eastAsia="Arial"/>
                <w:b/>
                <w:sz w:val="20"/>
              </w:rPr>
              <w:t>HelvetIKS</w:t>
            </w:r>
          </w:p>
        </w:tc>
        <w:tc>
          <w:tcPr>
            <w:tcW w:type="dxa" w:w="1506"/>
            <w:tcW w:w="1100" w:type="pct"/>
          </w:tcPr>
          <w:p>
            <w:r>
              <w:t>9, 36</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Shares the 'Helveti-' stem; covers business-process software (Class 9) and 'Finanzwesen' (Class 36) — identical to the target's financial scope. Medium similarity on multiple dimensions with identical services produces high risk.</w:t>
            </w:r>
          </w:p>
          <w:p>
            <w:hyperlink r:id="rId60">
              <w:r>
                <w:rPr>
                  <w:rFonts w:ascii="Arial" w:hAnsi="Arial" w:cs="Arial" w:eastAsia="Arial"/>
                  <w:sz w:val="16"/>
                  <w:color w:val="666666"/>
                  <w:u w:val="none"/>
                </w:rPr>
                <w:t xml:space="preserve">TMView: CH502016000053279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44452"/>
                  <wp:docPr id="1017" name="Picture 1017"/>
                  <wp:cNvGraphicFramePr>
                    <a:graphicFrameLocks noChangeAspect="1"/>
                  </wp:cNvGraphicFramePr>
                  <a:graphic>
                    <a:graphicData uri="http://schemas.openxmlformats.org/drawingml/2006/picture">
                      <pic:pic>
                        <pic:nvPicPr>
                          <pic:cNvPr id="0" name="tmpzlzj6zlt.png"/>
                          <pic:cNvPicPr/>
                        </pic:nvPicPr>
                        <pic:blipFill>
                          <a:blip r:embed="rId61"/>
                          <a:stretch>
                            <a:fillRect/>
                          </a:stretch>
                        </pic:blipFill>
                        <pic:spPr>
                          <a:xfrm>
                            <a:off x="0" y="0"/>
                            <a:ext cx="731520" cy="144452"/>
                          </a:xfrm>
                          <a:prstGeom prst="rect"/>
                        </pic:spPr>
                      </pic:pic>
                    </a:graphicData>
                  </a:graphic>
                </wp:inline>
              </w:drawing>
            </w:r>
            <w:r>
              <w:br/>
            </w:r>
            <w:r>
              <w:rPr>
                <w:rFonts w:ascii="Arial" w:hAnsi="Arial" w:cs="Arial" w:eastAsia="Arial"/>
                <w:b/>
                <w:sz w:val="20"/>
              </w:rPr>
              <w:t>HELVETICK</w:t>
            </w:r>
          </w:p>
        </w:tc>
        <w:tc>
          <w:tcPr>
            <w:tcW w:type="dxa" w:w="1506"/>
            <w:tcW w:w="1100" w:type="pct"/>
          </w:tcPr>
          <w:p>
            <w:r>
              <w:t>36, 9, 42</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Close variant of the 'Helveti-' stem; its specifications cover financial, monetary and banking services (Class 36), software and data-processing apparatus (Class 9) and software design (Class 42) — identical to all three target classes, so conflict risk is high.</w:t>
            </w:r>
          </w:p>
          <w:p>
            <w:hyperlink r:id="rId62">
              <w:r>
                <w:rPr>
                  <w:rFonts w:ascii="Arial" w:hAnsi="Arial" w:cs="Arial" w:eastAsia="Arial"/>
                  <w:sz w:val="16"/>
                  <w:color w:val="666666"/>
                  <w:u w:val="none"/>
                </w:rPr>
                <w:t xml:space="preserve">TMView: CH502024000010832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1480"/>
                  <wp:docPr id="1018" name="Picture 1018"/>
                  <wp:cNvGraphicFramePr>
                    <a:graphicFrameLocks noChangeAspect="1"/>
                  </wp:cNvGraphicFramePr>
                  <a:graphic>
                    <a:graphicData uri="http://schemas.openxmlformats.org/drawingml/2006/picture">
                      <pic:pic>
                        <pic:nvPicPr>
                          <pic:cNvPr id="0" name="tmph5brt2s3.png"/>
                          <pic:cNvPicPr/>
                        </pic:nvPicPr>
                        <pic:blipFill>
                          <a:blip r:embed="rId63"/>
                          <a:stretch>
                            <a:fillRect/>
                          </a:stretch>
                        </pic:blipFill>
                        <pic:spPr>
                          <a:xfrm>
                            <a:off x="0" y="0"/>
                            <a:ext cx="731520" cy="411480"/>
                          </a:xfrm>
                          <a:prstGeom prst="rect"/>
                        </pic:spPr>
                      </pic:pic>
                    </a:graphicData>
                  </a:graphic>
                </wp:inline>
              </w:drawing>
            </w:r>
            <w:r>
              <w:br/>
            </w:r>
            <w:r>
              <w:rPr>
                <w:rFonts w:ascii="Arial" w:hAnsi="Arial" w:cs="Arial" w:eastAsia="Arial"/>
                <w:b/>
                <w:sz w:val="20"/>
              </w:rPr>
              <w:t>HELVETIME</w:t>
            </w:r>
          </w:p>
        </w:tc>
        <w:tc>
          <w:tcPr>
            <w:tcW w:type="dxa" w:w="1506"/>
            <w:tcW w:w="1100" w:type="pct"/>
          </w:tcPr>
          <w:p>
            <w:r>
              <w:t>14, 9</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Shares the 'Helveti-' stem; Class 9 broad heading includes software and data-processing devices, related to the target's wallet software, though the mark's evident focus (with Class 14) is watches. Moderate risk limited to Class 9.</w:t>
            </w:r>
          </w:p>
          <w:p>
            <w:hyperlink r:id="rId64">
              <w:r>
                <w:rPr>
                  <w:rFonts w:ascii="Arial" w:hAnsi="Arial" w:cs="Arial" w:eastAsia="Arial"/>
                  <w:sz w:val="16"/>
                  <w:color w:val="666666"/>
                  <w:u w:val="none"/>
                </w:rPr>
                <w:t xml:space="preserve">TMView: CH502024000013326</w:t>
              </w:r>
            </w:hyperlink>
          </w:p>
        </w:tc>
      </w:tr>
      <w:tr>
        <w:trPr>
          <w:cantSplit/>
        </w:trPr>
        <w:tc>
          <w:tcPr>
            <w:tcW w:type="dxa" w:w="1506"/>
            <w:tcW w:w="1100" w:type="pct"/>
          </w:tcPr>
          <w:p>
            <w:r>
              <w:rPr>
                <w:rFonts w:ascii="Arial" w:hAnsi="Arial" w:cs="Arial" w:eastAsia="Arial"/>
                <w:b/>
                <w:sz w:val="20"/>
              </w:rPr>
              <w:t>HELVETING</w:t>
            </w:r>
          </w:p>
        </w:tc>
        <w:tc>
          <w:tcPr>
            <w:tcW w:type="dxa" w:w="1506"/>
            <w:tcW w:w="1100" w:type="pct"/>
          </w:tcPr>
          <w:p>
            <w:r>
              <w:t>35, 42, 45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Shares the 'Helvet-' stem; its Class 42 services cover software development for engineering purposes, related to the target's Class 42 technology services though focused on a different (engineering) sector. Moderate risk confined to Class 42.</w:t>
            </w:r>
          </w:p>
          <w:p>
            <w:hyperlink r:id="rId65">
              <w:r>
                <w:rPr>
                  <w:rFonts w:ascii="Arial" w:hAnsi="Arial" w:cs="Arial" w:eastAsia="Arial"/>
                  <w:sz w:val="16"/>
                  <w:color w:val="666666"/>
                  <w:u w:val="none"/>
                </w:rPr>
                <w:t xml:space="preserve">TMView: CH502006000061607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565744"/>
                  <wp:docPr id="1019" name="Picture 1019"/>
                  <wp:cNvGraphicFramePr>
                    <a:graphicFrameLocks noChangeAspect="1"/>
                  </wp:cNvGraphicFramePr>
                  <a:graphic>
                    <a:graphicData uri="http://schemas.openxmlformats.org/drawingml/2006/picture">
                      <pic:pic>
                        <pic:nvPicPr>
                          <pic:cNvPr id="0" name="tmpgq95hf46.png"/>
                          <pic:cNvPicPr/>
                        </pic:nvPicPr>
                        <pic:blipFill>
                          <a:blip r:embed="rId66"/>
                          <a:stretch>
                            <a:fillRect/>
                          </a:stretch>
                        </pic:blipFill>
                        <pic:spPr>
                          <a:xfrm>
                            <a:off x="0" y="0"/>
                            <a:ext cx="731520" cy="565744"/>
                          </a:xfrm>
                          <a:prstGeom prst="rect"/>
                        </pic:spPr>
                      </pic:pic>
                    </a:graphicData>
                  </a:graphic>
                </wp:inline>
              </w:drawing>
            </w:r>
            <w:r>
              <w:br/>
            </w:r>
            <w:r>
              <w:rPr>
                <w:rFonts w:ascii="Arial" w:hAnsi="Arial" w:cs="Arial" w:eastAsia="Arial"/>
                <w:b/>
                <w:sz w:val="20"/>
              </w:rPr>
              <w:t>HelvetiGo</w:t>
            </w:r>
          </w:p>
        </w:tc>
        <w:tc>
          <w:tcPr>
            <w:tcW w:type="dxa" w:w="1506"/>
            <w:tcW w:w="1100" w:type="pct"/>
          </w:tcPr>
          <w:p>
            <w:r>
              <w:t>9, 35, 39, 42</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Shares the 'Helveti-' stem with a 'Go' suffix and a transport-oriented logo; Class 9 (software, recorded media) and Class 42 (software design) headings are related to the target's scope even though the business focus appears to be mobility. Moderate risk in Classes 9 and 42.</w:t>
            </w:r>
          </w:p>
          <w:p>
            <w:hyperlink r:id="rId67">
              <w:r>
                <w:rPr>
                  <w:rFonts w:ascii="Arial" w:hAnsi="Arial" w:cs="Arial" w:eastAsia="Arial"/>
                  <w:sz w:val="16"/>
                  <w:color w:val="666666"/>
                  <w:u w:val="none"/>
                </w:rPr>
                <w:t xml:space="preserve">TMView: CH502026000005549</w:t>
              </w:r>
            </w:hyperlink>
          </w:p>
        </w:tc>
      </w:tr>
      <w:tr>
        <w:trPr>
          <w:cantSplit/>
        </w:trPr>
        <w:tc>
          <w:tcPr>
            <w:tcW w:type="dxa" w:w="1506"/>
            <w:tcW w:w="1100" w:type="pct"/>
          </w:tcPr>
          <w:p>
            <w:r>
              <w:rPr>
                <w:rFonts w:ascii="Arial" w:hAnsi="Arial" w:cs="Arial" w:eastAsia="Arial"/>
                <w:b/>
                <w:sz w:val="20"/>
              </w:rPr>
              <w:t>BVLGARI VAULT</w:t>
            </w:r>
          </w:p>
        </w:tc>
        <w:tc>
          <w:tcPr>
            <w:tcW w:type="dxa" w:w="1506"/>
            <w:tcW w:w="1100" w:type="pct"/>
          </w:tcPr>
          <w:p>
            <w:r>
              <w:t>9, 38, 42</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Shares only the weak/suggestive tail 'VAULT'; the dominant element 'BVLGARI' is entirely different. No goods/services text is available and Classes 9/42 headings alone cannot confirm proximity to wallet software, so overlap cannot be reliably assessed; given the different dominant element, risk is low in any event.</w:t>
            </w:r>
          </w:p>
          <w:p>
            <w:hyperlink r:id="rId68">
              <w:r>
                <w:rPr>
                  <w:rFonts w:ascii="Arial" w:hAnsi="Arial" w:cs="Arial" w:eastAsia="Arial"/>
                  <w:sz w:val="16"/>
                  <w:color w:val="666666"/>
                  <w:u w:val="none"/>
                </w:rPr>
                <w:t xml:space="preserve">TMView: CH502015000052787</w:t>
              </w:r>
            </w:hyperlink>
          </w:p>
        </w:tc>
      </w:tr>
    </w:tbl>
    <w:p>
      <w:pPr>
        <w:pStyle w:val="Heading1"/>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target's goods/services scope was taken as digital-wallet and financial-payment software (Class 9), financial and electronic-wallet services (Class 36) and related SaaS/software development (Class 42), based on the business description 'Financial service and online wallet'. | WHY: The description is brief and the exact specification wording was not provided. | IMPACT: Affects goods_overlap and conflict_risk for cited marks such as 'helvetia', 'HelvetiaCom' and 'Helvetica', and the per_class_assessment probabilities.</w:t>
        <w:br/>
        <w:t xml:space="preserve">• ASSUMPTION: The applicant's services will not have their seat and actual administration in Switzerland, based on the stated Portuguese (PT) domicile. | WHY: Swiss indications-of-source rules for services turn on the provider's seat and administration; only the domicile code was given. | IMPACT: Drives deceptive_misleading, prohibited_elements and geographic_indications at HIGH; if the applicant established a genuine Swiss seat, these grounds and the overall verdict would improve materially.</w:t>
        <w:br/>
        <w:t xml:space="preserve">• ASSUMPTION: 'BVLGARI VAULT' has no goods/services text, so its scope could not be confirmed against the target's wallet software. | WHY: The goods_services field for that mark is empty and Classes 9/38/42 headings alone are too broad. | IMPACT: goods_overlap was set to null and conflict_risk to LOW for 'BVLGARI VAULT'.</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sectPr w:rsidR="00FC693F" w:rsidRPr="0006063C" w:rsidSect="00034616">
      <w:headerReference w:type="default" r:id="rId9"/>
      <w:footerReference w:type="default" r:id="rId10"/>
      <w:pgSz w:w="12240" w:h="15840"/>
      <w:pgMar w:top="1134"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autofit"/>
      <w:tblLook w:firstColumn="1" w:firstRow="1" w:lastColumn="0" w:lastRow="0" w:noHBand="0" w:noVBand="1" w:val="04A0"/>
    </w:tblPr>
    <w:tblGrid>
      <w:gridCol w:w="5256"/>
      <w:gridCol w:w="5256"/>
    </w:tblGrid>
    <w:tr>
      <w:tc>
        <w:tcPr>
          <w:tcW w:type="dxa" w:w="5256"/>
        </w:tcPr>
        <w:p>
          <w:r>
            <w:rPr>
              <w:rFonts w:ascii="Arial" w:hAnsi="Arial" w:cs="Arial" w:eastAsia="Arial"/>
              <w:color w:val="1A365D"/>
              <w:sz w:val="16"/>
            </w:rPr>
            <w:t xml:space="preserve"/>
          </w:r>
        </w:p>
      </w:tc>
      <w:tc>
        <w:tcPr>
          <w:tcW w:type="dxa" w:w="5256"/>
        </w:tcPr>
        <w:p>
          <w:pPr>
            <w:jc w:val="right"/>
          </w:pPr>
          <w:r>
            <w:rPr>
              <w:rFonts w:ascii="Arial" w:hAnsi="Arial" w:cs="Arial" w:eastAsia="Arial"/>
              <w:color w:val="666666"/>
              <w:sz w:val="16"/>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5256"/>
      <w:gridCol w:w="5256"/>
    </w:tblGrid>
    <w:tr>
      <w:tc>
        <w:tcPr>
          <w:tcW w:type="dxa" w:w="5256"/>
        </w:tcPr>
        <w:p>
          <w:r>
            <w:t xml:space="preserve"/>
          </w:r>
          <w:r>
            <w:drawing>
              <wp:inline xmlns:wp="http://schemas.openxmlformats.org/drawingml/2006/wordprocessingDrawing" xmlns:a="http://schemas.openxmlformats.org/drawingml/2006/main" xmlns:pic="http://schemas.openxmlformats.org/drawingml/2006/picture" xmlns:r="http://schemas.openxmlformats.org/officeDocument/2006/relationships">
                <wp:extent cx="1288957" cy="180000"/>
                <wp:docPr id="1" name="Picture 1"/>
                <wp:cNvGraphicFramePr>
                  <a:graphicFrameLocks noChangeAspect="1"/>
                </wp:cNvGraphicFramePr>
                <a:graphic>
                  <a:graphicData uri="http://schemas.openxmlformats.org/drawingml/2006/picture">
                    <pic:pic>
                      <pic:nvPicPr>
                        <pic:cNvPr id="0" name="demarka_logo.png"/>
                        <pic:cNvPicPr/>
                      </pic:nvPicPr>
                      <pic:blipFill>
                        <a:blip r:embed="rId1"/>
                        <a:stretch>
                          <a:fillRect/>
                        </a:stretch>
                      </pic:blipFill>
                      <pic:spPr>
                        <a:xfrm>
                          <a:off x="0" y="0"/>
                          <a:ext cx="1288957" cy="180000"/>
                        </a:xfrm>
                        <a:prstGeom prst="rect"/>
                      </pic:spPr>
                    </pic:pic>
                  </a:graphicData>
                </a:graphic>
              </wp:inline>
            </w:drawing>
          </w:r>
          <w:r>
            <w:t xml:space="preserve"/>
          </w:r>
        </w:p>
      </w:tc>
      <w:tc>
        <w:tcPr>
          <w:tcW w:type="dxa" w:w="5256"/>
        </w:tcPr>
        <w:p>
          <w:pPr>
            <w:jc w:val="right"/>
          </w:pPr>
          <w:r>
            <w:rPr>
              <w:rFonts w:ascii="Arial" w:hAnsi="Arial" w:cs="Arial" w:eastAsia="Arial"/>
              <w:color w:val="666666"/>
              <w:sz w:val="16"/>
            </w:rPr>
            <w:t xml:space="preserve">Generated by Demarka • July 07, 2026 at 10:18</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cs="Arial" w:eastAsia="Arial"/>
      <w:color w:val="3333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eastAsia="Arial"/>
      <w:b/>
      <w:bCs/>
      <w:color w:val="1A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eastAsia="Arial"/>
      <w:b/>
      <w:bCs/>
      <w:color w:val="1A365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cs="Arial" w:eastAsia="Arial"/>
      <w:b/>
      <w:bCs/>
      <w:color w:val="1A365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3.png"/><Relationship Id="rId13" Type="http://schemas.openxmlformats.org/officeDocument/2006/relationships/hyperlink" Target="https://www.tmdn.org/tmview/#/tmview/detail/CH502012000056494" TargetMode="External"/><Relationship Id="rId14" Type="http://schemas.openxmlformats.org/officeDocument/2006/relationships/image" Target="media/image4.png"/><Relationship Id="rId15" Type="http://schemas.openxmlformats.org/officeDocument/2006/relationships/hyperlink" Target="https://www.tmdn.org/tmview/#/tmview/detail/CH502021000019144" TargetMode="External"/><Relationship Id="rId16" Type="http://schemas.openxmlformats.org/officeDocument/2006/relationships/image" Target="media/image5.png"/><Relationship Id="rId17" Type="http://schemas.openxmlformats.org/officeDocument/2006/relationships/hyperlink" Target="https://www.tmdn.org/tmview/#/tmview/detail/CH502006000001988" TargetMode="External"/><Relationship Id="rId18" Type="http://schemas.openxmlformats.org/officeDocument/2006/relationships/image" Target="media/image6.png"/><Relationship Id="rId19" Type="http://schemas.openxmlformats.org/officeDocument/2006/relationships/hyperlink" Target="https://www.tmdn.org/tmview/#/tmview/detail/CH501994000009282" TargetMode="External"/><Relationship Id="rId20" Type="http://schemas.openxmlformats.org/officeDocument/2006/relationships/hyperlink" Target="https://www.tmdn.org/tmview/#/tmview/detail/CH502026000002061" TargetMode="External"/><Relationship Id="rId21" Type="http://schemas.openxmlformats.org/officeDocument/2006/relationships/hyperlink" Target="https://www.tmdn.org/tmview/#/tmview/detail/CH502025000005750" TargetMode="External"/><Relationship Id="rId22" Type="http://schemas.openxmlformats.org/officeDocument/2006/relationships/hyperlink" Target="https://www.tmdn.org/tmview/#/tmview/detail/CH502025000005752" TargetMode="External"/><Relationship Id="rId23" Type="http://schemas.openxmlformats.org/officeDocument/2006/relationships/hyperlink" Target="https://www.tmdn.org/tmview/#/tmview/detail/CH502025000005751" TargetMode="External"/><Relationship Id="rId24" Type="http://schemas.openxmlformats.org/officeDocument/2006/relationships/image" Target="media/image7.png"/><Relationship Id="rId25" Type="http://schemas.openxmlformats.org/officeDocument/2006/relationships/hyperlink" Target="https://www.tmdn.org/tmview/#/tmview/detail/CH502024000003588" TargetMode="External"/><Relationship Id="rId26" Type="http://schemas.openxmlformats.org/officeDocument/2006/relationships/hyperlink" Target="https://www.tmdn.org/tmview/#/tmview/detail/CH502024000003581" TargetMode="External"/><Relationship Id="rId27" Type="http://schemas.openxmlformats.org/officeDocument/2006/relationships/hyperlink" Target="https://www.tmdn.org/tmview/#/tmview/detail/CH502023000003968" TargetMode="External"/><Relationship Id="rId28" Type="http://schemas.openxmlformats.org/officeDocument/2006/relationships/hyperlink" Target="https://www.tmdn.org/tmview/#/tmview/detail/CH502023000003970" TargetMode="External"/><Relationship Id="rId29" Type="http://schemas.openxmlformats.org/officeDocument/2006/relationships/hyperlink" Target="https://www.tmdn.org/tmview/#/tmview/detail/CH502025000005748" TargetMode="External"/><Relationship Id="rId30" Type="http://schemas.openxmlformats.org/officeDocument/2006/relationships/hyperlink" Target="https://www.tmdn.org/tmview/#/tmview/detail/CH502025000005749" TargetMode="External"/><Relationship Id="rId31" Type="http://schemas.openxmlformats.org/officeDocument/2006/relationships/image" Target="media/image8.png"/><Relationship Id="rId32" Type="http://schemas.openxmlformats.org/officeDocument/2006/relationships/hyperlink" Target="https://www.tmdn.org/tmview/#/tmview/detail/CH502018000079176" TargetMode="External"/><Relationship Id="rId33" Type="http://schemas.openxmlformats.org/officeDocument/2006/relationships/hyperlink" Target="https://www.tmdn.org/tmview/#/tmview/detail/CH502022000002975" TargetMode="External"/><Relationship Id="rId34" Type="http://schemas.openxmlformats.org/officeDocument/2006/relationships/image" Target="media/image9.png"/><Relationship Id="rId35" Type="http://schemas.openxmlformats.org/officeDocument/2006/relationships/hyperlink" Target="https://www.tmdn.org/tmview/#/tmview/detail/CH502025000003604" TargetMode="External"/><Relationship Id="rId36" Type="http://schemas.openxmlformats.org/officeDocument/2006/relationships/hyperlink" Target="https://www.tmdn.org/tmview/#/tmview/detail/CH502020000010318" TargetMode="External"/><Relationship Id="rId37" Type="http://schemas.openxmlformats.org/officeDocument/2006/relationships/hyperlink" Target="https://www.tmdn.org/tmview/#/tmview/detail/CH502022000014317" TargetMode="External"/><Relationship Id="rId38" Type="http://schemas.openxmlformats.org/officeDocument/2006/relationships/image" Target="media/image10.png"/><Relationship Id="rId39" Type="http://schemas.openxmlformats.org/officeDocument/2006/relationships/hyperlink" Target="https://www.tmdn.org/tmview/#/tmview/detail/CH502021000009163" TargetMode="External"/><Relationship Id="rId40" Type="http://schemas.openxmlformats.org/officeDocument/2006/relationships/hyperlink" Target="https://www.tmdn.org/tmview/#/tmview/detail/WO500000001752855" TargetMode="External"/><Relationship Id="rId41" Type="http://schemas.openxmlformats.org/officeDocument/2006/relationships/hyperlink" Target="https://www.tmdn.org/tmview/#/tmview/detail/CH502009000051603" TargetMode="External"/><Relationship Id="rId42" Type="http://schemas.openxmlformats.org/officeDocument/2006/relationships/image" Target="media/image11.png"/><Relationship Id="rId43" Type="http://schemas.openxmlformats.org/officeDocument/2006/relationships/hyperlink" Target="https://www.tmdn.org/tmview/#/tmview/detail/CH502013000059332" TargetMode="External"/><Relationship Id="rId44" Type="http://schemas.openxmlformats.org/officeDocument/2006/relationships/hyperlink" Target="https://www.tmdn.org/tmview/#/tmview/detail/CH501988000006506" TargetMode="External"/><Relationship Id="rId45" Type="http://schemas.openxmlformats.org/officeDocument/2006/relationships/image" Target="media/image12.png"/><Relationship Id="rId46" Type="http://schemas.openxmlformats.org/officeDocument/2006/relationships/hyperlink" Target="https://www.tmdn.org/tmview/#/tmview/detail/CH502020000005176" TargetMode="External"/><Relationship Id="rId47" Type="http://schemas.openxmlformats.org/officeDocument/2006/relationships/hyperlink" Target="https://www.tmdn.org/tmview/#/tmview/detail/CH502023000008898" TargetMode="External"/><Relationship Id="rId48" Type="http://schemas.openxmlformats.org/officeDocument/2006/relationships/hyperlink" Target="https://www.tmdn.org/tmview/#/tmview/detail/CH501995000008974" TargetMode="External"/><Relationship Id="rId49" Type="http://schemas.openxmlformats.org/officeDocument/2006/relationships/hyperlink" Target="https://www.tmdn.org/tmview/#/tmview/detail/CH501995000005885" TargetMode="External"/><Relationship Id="rId50" Type="http://schemas.openxmlformats.org/officeDocument/2006/relationships/image" Target="media/image13.png"/><Relationship Id="rId51" Type="http://schemas.openxmlformats.org/officeDocument/2006/relationships/hyperlink" Target="https://www.tmdn.org/tmview/#/tmview/detail/CH501987000007483" TargetMode="External"/><Relationship Id="rId52" Type="http://schemas.openxmlformats.org/officeDocument/2006/relationships/image" Target="media/image14.png"/><Relationship Id="rId53" Type="http://schemas.openxmlformats.org/officeDocument/2006/relationships/hyperlink" Target="https://www.tmdn.org/tmview/#/tmview/detail/CH501995000005886" TargetMode="External"/><Relationship Id="rId54" Type="http://schemas.openxmlformats.org/officeDocument/2006/relationships/image" Target="media/image15.png"/><Relationship Id="rId55" Type="http://schemas.openxmlformats.org/officeDocument/2006/relationships/hyperlink" Target="https://www.tmdn.org/tmview/#/tmview/detail/CH501995000008975" TargetMode="External"/><Relationship Id="rId56" Type="http://schemas.openxmlformats.org/officeDocument/2006/relationships/hyperlink" Target="https://www.tmdn.org/tmview/#/tmview/detail/CH501995000002418" TargetMode="External"/><Relationship Id="rId57" Type="http://schemas.openxmlformats.org/officeDocument/2006/relationships/hyperlink" Target="https://www.tmdn.org/tmview/#/tmview/detail/CH502024000004008" TargetMode="External"/><Relationship Id="rId58" Type="http://schemas.openxmlformats.org/officeDocument/2006/relationships/image" Target="media/image16.png"/><Relationship Id="rId59" Type="http://schemas.openxmlformats.org/officeDocument/2006/relationships/hyperlink" Target="https://www.tmdn.org/tmview/#/tmview/detail/CH502026000002058" TargetMode="External"/><Relationship Id="rId60" Type="http://schemas.openxmlformats.org/officeDocument/2006/relationships/hyperlink" Target="https://www.tmdn.org/tmview/#/tmview/detail/CH502016000053279" TargetMode="External"/><Relationship Id="rId61" Type="http://schemas.openxmlformats.org/officeDocument/2006/relationships/image" Target="media/image17.png"/><Relationship Id="rId62" Type="http://schemas.openxmlformats.org/officeDocument/2006/relationships/hyperlink" Target="https://www.tmdn.org/tmview/#/tmview/detail/CH502024000010832" TargetMode="External"/><Relationship Id="rId63" Type="http://schemas.openxmlformats.org/officeDocument/2006/relationships/image" Target="media/image18.png"/><Relationship Id="rId64" Type="http://schemas.openxmlformats.org/officeDocument/2006/relationships/hyperlink" Target="https://www.tmdn.org/tmview/#/tmview/detail/CH502024000013326" TargetMode="External"/><Relationship Id="rId65" Type="http://schemas.openxmlformats.org/officeDocument/2006/relationships/hyperlink" Target="https://www.tmdn.org/tmview/#/tmview/detail/CH502006000061607" TargetMode="External"/><Relationship Id="rId66" Type="http://schemas.openxmlformats.org/officeDocument/2006/relationships/image" Target="media/image19.png"/><Relationship Id="rId67" Type="http://schemas.openxmlformats.org/officeDocument/2006/relationships/hyperlink" Target="https://www.tmdn.org/tmview/#/tmview/detail/CH502026000005549" TargetMode="External"/><Relationship Id="rId68" Type="http://schemas.openxmlformats.org/officeDocument/2006/relationships/hyperlink" Target="https://www.tmdn.org/tmview/#/tmview/detail/CH5020150000527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identifier/>
  <dc:language/>
</cp:coreProperties>
</file>